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97FB" w14:textId="77777777" w:rsidR="001A768A" w:rsidRDefault="00004998" w:rsidP="0085726D">
      <w:r>
        <w:rPr>
          <w:noProof/>
          <w:lang w:val="en-GB" w:eastAsia="en-GB"/>
        </w:rPr>
        <w:drawing>
          <wp:inline distT="0" distB="0" distL="0" distR="0" wp14:anchorId="32237B30" wp14:editId="1EC39C99">
            <wp:extent cx="3646770" cy="1011236"/>
            <wp:effectExtent l="0" t="0" r="0" b="0"/>
            <wp:docPr id="2000188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88015" name="Picture 2000188015"/>
                    <pic:cNvPicPr/>
                  </pic:nvPicPr>
                  <pic:blipFill>
                    <a:blip r:embed="rId10">
                      <a:extLst>
                        <a:ext uri="{28A0092B-C50C-407E-A947-70E740481C1C}">
                          <a14:useLocalDpi xmlns:a14="http://schemas.microsoft.com/office/drawing/2010/main" val="0"/>
                        </a:ext>
                      </a:extLst>
                    </a:blip>
                    <a:stretch>
                      <a:fillRect/>
                    </a:stretch>
                  </pic:blipFill>
                  <pic:spPr>
                    <a:xfrm>
                      <a:off x="0" y="0"/>
                      <a:ext cx="3646770" cy="1011236"/>
                    </a:xfrm>
                    <a:prstGeom prst="rect">
                      <a:avLst/>
                    </a:prstGeom>
                  </pic:spPr>
                </pic:pic>
              </a:graphicData>
            </a:graphic>
          </wp:inline>
        </w:drawing>
      </w:r>
    </w:p>
    <w:p w14:paraId="324A5313" w14:textId="77777777" w:rsidR="00004998" w:rsidRPr="00004998" w:rsidRDefault="00004998" w:rsidP="00004998">
      <w:pPr>
        <w:pStyle w:val="Subtitle"/>
        <w:rPr>
          <w:rFonts w:ascii="Times New Roman" w:eastAsiaTheme="majorEastAsia" w:hAnsi="Times New Roman" w:cstheme="majorBidi"/>
          <w:b/>
          <w:bCs/>
          <w:sz w:val="96"/>
          <w:szCs w:val="32"/>
          <w:lang w:val="en-GB"/>
        </w:rPr>
      </w:pPr>
      <w:r w:rsidRPr="00004998">
        <w:rPr>
          <w:rFonts w:ascii="Times New Roman" w:eastAsiaTheme="majorEastAsia" w:hAnsi="Times New Roman" w:cstheme="majorBidi"/>
          <w:b/>
          <w:bCs/>
          <w:sz w:val="96"/>
          <w:szCs w:val="32"/>
          <w:lang w:val="en-GB"/>
        </w:rPr>
        <w:t>Paying for Local Democracy</w:t>
      </w:r>
    </w:p>
    <w:p w14:paraId="6861C00A" w14:textId="77777777" w:rsidR="00004998" w:rsidRPr="00004998" w:rsidRDefault="00004998" w:rsidP="00004998">
      <w:pPr>
        <w:rPr>
          <w:rFonts w:eastAsiaTheme="minorEastAsia"/>
          <w:color w:val="000000" w:themeColor="text1"/>
          <w:spacing w:val="15"/>
          <w:sz w:val="40"/>
          <w:lang w:val="en-GB"/>
        </w:rPr>
      </w:pPr>
      <w:r>
        <w:rPr>
          <w:rFonts w:eastAsiaTheme="minorEastAsia"/>
          <w:color w:val="000000" w:themeColor="text1"/>
          <w:spacing w:val="15"/>
          <w:sz w:val="40"/>
          <w:lang w:val="en-GB"/>
        </w:rPr>
        <w:t>Councillor r</w:t>
      </w:r>
      <w:r w:rsidRPr="00004998">
        <w:rPr>
          <w:rFonts w:eastAsiaTheme="minorEastAsia"/>
          <w:color w:val="000000" w:themeColor="text1"/>
          <w:spacing w:val="15"/>
          <w:sz w:val="40"/>
          <w:lang w:val="en-GB"/>
        </w:rPr>
        <w:t>emuneration</w:t>
      </w:r>
      <w:r>
        <w:rPr>
          <w:rFonts w:eastAsiaTheme="minorEastAsia"/>
          <w:color w:val="000000" w:themeColor="text1"/>
          <w:spacing w:val="15"/>
          <w:sz w:val="40"/>
          <w:lang w:val="en-GB"/>
        </w:rPr>
        <w:t xml:space="preserve"> </w:t>
      </w:r>
      <w:r w:rsidRPr="00004998">
        <w:rPr>
          <w:rFonts w:eastAsiaTheme="minorEastAsia"/>
          <w:color w:val="000000" w:themeColor="text1"/>
          <w:spacing w:val="15"/>
          <w:sz w:val="40"/>
          <w:lang w:val="en-GB"/>
        </w:rPr>
        <w:t>and widening participation in local government</w:t>
      </w:r>
    </w:p>
    <w:p w14:paraId="09112C0F" w14:textId="77777777" w:rsidR="00004998" w:rsidRPr="00004998" w:rsidRDefault="00004998" w:rsidP="00004998">
      <w:pPr>
        <w:rPr>
          <w:rFonts w:eastAsiaTheme="minorEastAsia"/>
          <w:color w:val="000000" w:themeColor="text1"/>
          <w:spacing w:val="15"/>
          <w:sz w:val="40"/>
          <w:lang w:val="en-GB"/>
        </w:rPr>
      </w:pPr>
    </w:p>
    <w:p w14:paraId="468D76C3" w14:textId="10CE68B8" w:rsidR="00AF1CAC" w:rsidRDefault="00F310D5" w:rsidP="00AF1CAC">
      <w:r>
        <w:t xml:space="preserve">Emeritus </w:t>
      </w:r>
      <w:r w:rsidR="00004998">
        <w:t xml:space="preserve">Prof Colin Copus, Dr Jason Lowther, </w:t>
      </w:r>
      <w:r w:rsidR="00C25682">
        <w:t>Mr.</w:t>
      </w:r>
      <w:r w:rsidR="00004998">
        <w:t xml:space="preserve"> Ray </w:t>
      </w:r>
      <w:r w:rsidR="00A04BDA">
        <w:t>Tomkinson</w:t>
      </w:r>
    </w:p>
    <w:p w14:paraId="3C11F553" w14:textId="77777777" w:rsidR="00004998" w:rsidRDefault="00004998" w:rsidP="00AF1CAC"/>
    <w:p w14:paraId="17FD4CDE" w14:textId="77777777" w:rsidR="00AF1CAC" w:rsidRDefault="00004998" w:rsidP="00AF1CAC">
      <w:r>
        <w:t>June 2026</w:t>
      </w:r>
    </w:p>
    <w:p w14:paraId="6B7AA0B6" w14:textId="77777777" w:rsidR="007E40F1" w:rsidRDefault="007E40F1"/>
    <w:p w14:paraId="5A744B92" w14:textId="77777777" w:rsidR="007E40F1" w:rsidRDefault="007E40F1"/>
    <w:p w14:paraId="3A83F7C8" w14:textId="77777777" w:rsidR="00004998" w:rsidRDefault="00004998"/>
    <w:p w14:paraId="73C58207" w14:textId="77777777" w:rsidR="00004998" w:rsidRDefault="00004998"/>
    <w:p w14:paraId="7B1A4698" w14:textId="77777777" w:rsidR="007E40F1" w:rsidRDefault="007E40F1"/>
    <w:p w14:paraId="3A131F65" w14:textId="77777777" w:rsidR="00B210DF" w:rsidRDefault="007E40F1">
      <w:r>
        <w:rPr>
          <w:rFonts w:cs="Arial"/>
          <w:noProof/>
          <w:lang w:val="en-GB" w:eastAsia="en-GB"/>
        </w:rPr>
        <w:drawing>
          <wp:inline distT="0" distB="0" distL="0" distR="0" wp14:anchorId="4B05D489" wp14:editId="39B7575F">
            <wp:extent cx="1580483" cy="889000"/>
            <wp:effectExtent l="0" t="0" r="0" b="0"/>
            <wp:docPr id="241895610" name="Picture 1" descr="A yellow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95610" name="Picture 1" descr="A yellow line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115" cy="932667"/>
                    </a:xfrm>
                    <a:prstGeom prst="rect">
                      <a:avLst/>
                    </a:prstGeom>
                  </pic:spPr>
                </pic:pic>
              </a:graphicData>
            </a:graphic>
          </wp:inline>
        </w:drawing>
      </w:r>
      <w:r w:rsidR="00B210DF">
        <w:br w:type="page"/>
      </w:r>
    </w:p>
    <w:p w14:paraId="6D698321" w14:textId="2692A444" w:rsidR="008E6024" w:rsidRDefault="008E6024"/>
    <w:p w14:paraId="09100FB6" w14:textId="21B5C6C1" w:rsidR="00A04BDA" w:rsidRPr="00A04BDA" w:rsidRDefault="00A04BDA">
      <w:pPr>
        <w:rPr>
          <w:rFonts w:ascii="Times New Roman" w:hAnsi="Times New Roman" w:cs="Times New Roman"/>
          <w:sz w:val="40"/>
          <w:szCs w:val="40"/>
        </w:rPr>
      </w:pPr>
      <w:r w:rsidRPr="00A04BDA">
        <w:rPr>
          <w:rFonts w:ascii="Times New Roman" w:hAnsi="Times New Roman" w:cs="Times New Roman"/>
          <w:sz w:val="40"/>
          <w:szCs w:val="40"/>
        </w:rPr>
        <w:t>Contents</w:t>
      </w:r>
    </w:p>
    <w:p w14:paraId="0F766A1A" w14:textId="77777777" w:rsidR="00A04BDA" w:rsidRDefault="00A04BDA"/>
    <w:p w14:paraId="04706131" w14:textId="716C3A13" w:rsidR="00287252" w:rsidRDefault="00A04BDA">
      <w:pPr>
        <w:pStyle w:val="TOC1"/>
        <w:tabs>
          <w:tab w:val="right" w:pos="9350"/>
        </w:tabs>
        <w:rPr>
          <w:rFonts w:asciiTheme="minorHAnsi" w:eastAsiaTheme="minorEastAsia" w:hAnsiTheme="minorHAnsi"/>
          <w:noProof/>
          <w:szCs w:val="24"/>
          <w:lang w:val="en-GB" w:eastAsia="en-GB"/>
        </w:rPr>
      </w:pPr>
      <w:r>
        <w:fldChar w:fldCharType="begin"/>
      </w:r>
      <w:r>
        <w:instrText xml:space="preserve"> TOC \o "1-2" \h \z \u </w:instrText>
      </w:r>
      <w:r>
        <w:fldChar w:fldCharType="separate"/>
      </w:r>
      <w:hyperlink w:anchor="_Toc232063640" w:history="1">
        <w:r w:rsidR="00287252" w:rsidRPr="00DF7A3D">
          <w:rPr>
            <w:rStyle w:val="Hyperlink"/>
            <w:noProof/>
          </w:rPr>
          <w:t>Executive Summary</w:t>
        </w:r>
        <w:r w:rsidR="00287252">
          <w:rPr>
            <w:noProof/>
            <w:webHidden/>
          </w:rPr>
          <w:tab/>
        </w:r>
        <w:r w:rsidR="00287252">
          <w:rPr>
            <w:noProof/>
            <w:webHidden/>
          </w:rPr>
          <w:fldChar w:fldCharType="begin"/>
        </w:r>
        <w:r w:rsidR="00287252">
          <w:rPr>
            <w:noProof/>
            <w:webHidden/>
          </w:rPr>
          <w:instrText xml:space="preserve"> PAGEREF _Toc232063640 \h </w:instrText>
        </w:r>
        <w:r w:rsidR="00287252">
          <w:rPr>
            <w:noProof/>
            <w:webHidden/>
          </w:rPr>
        </w:r>
        <w:r w:rsidR="00287252">
          <w:rPr>
            <w:noProof/>
            <w:webHidden/>
          </w:rPr>
          <w:fldChar w:fldCharType="separate"/>
        </w:r>
        <w:r w:rsidR="00287252">
          <w:rPr>
            <w:noProof/>
            <w:webHidden/>
          </w:rPr>
          <w:t>3</w:t>
        </w:r>
        <w:r w:rsidR="00287252">
          <w:rPr>
            <w:noProof/>
            <w:webHidden/>
          </w:rPr>
          <w:fldChar w:fldCharType="end"/>
        </w:r>
      </w:hyperlink>
    </w:p>
    <w:p w14:paraId="664D347E" w14:textId="02A695A6" w:rsidR="00287252" w:rsidRDefault="00287252">
      <w:pPr>
        <w:pStyle w:val="TOC1"/>
        <w:tabs>
          <w:tab w:val="right" w:pos="9350"/>
        </w:tabs>
        <w:rPr>
          <w:rFonts w:asciiTheme="minorHAnsi" w:eastAsiaTheme="minorEastAsia" w:hAnsiTheme="minorHAnsi"/>
          <w:noProof/>
          <w:szCs w:val="24"/>
          <w:lang w:val="en-GB" w:eastAsia="en-GB"/>
        </w:rPr>
      </w:pPr>
      <w:hyperlink w:anchor="_Toc232063641" w:history="1">
        <w:r w:rsidRPr="00DF7A3D">
          <w:rPr>
            <w:rStyle w:val="Hyperlink"/>
            <w:noProof/>
          </w:rPr>
          <w:t>Introduction</w:t>
        </w:r>
        <w:r>
          <w:rPr>
            <w:noProof/>
            <w:webHidden/>
          </w:rPr>
          <w:tab/>
        </w:r>
        <w:r>
          <w:rPr>
            <w:noProof/>
            <w:webHidden/>
          </w:rPr>
          <w:fldChar w:fldCharType="begin"/>
        </w:r>
        <w:r>
          <w:rPr>
            <w:noProof/>
            <w:webHidden/>
          </w:rPr>
          <w:instrText xml:space="preserve"> PAGEREF _Toc232063641 \h </w:instrText>
        </w:r>
        <w:r>
          <w:rPr>
            <w:noProof/>
            <w:webHidden/>
          </w:rPr>
        </w:r>
        <w:r>
          <w:rPr>
            <w:noProof/>
            <w:webHidden/>
          </w:rPr>
          <w:fldChar w:fldCharType="separate"/>
        </w:r>
        <w:r>
          <w:rPr>
            <w:noProof/>
            <w:webHidden/>
          </w:rPr>
          <w:t>4</w:t>
        </w:r>
        <w:r>
          <w:rPr>
            <w:noProof/>
            <w:webHidden/>
          </w:rPr>
          <w:fldChar w:fldCharType="end"/>
        </w:r>
      </w:hyperlink>
    </w:p>
    <w:p w14:paraId="3AE3BF9C" w14:textId="477D8DAF" w:rsidR="00287252" w:rsidRDefault="00287252">
      <w:pPr>
        <w:pStyle w:val="TOC1"/>
        <w:tabs>
          <w:tab w:val="right" w:pos="9350"/>
        </w:tabs>
        <w:rPr>
          <w:rFonts w:asciiTheme="minorHAnsi" w:eastAsiaTheme="minorEastAsia" w:hAnsiTheme="minorHAnsi"/>
          <w:noProof/>
          <w:szCs w:val="24"/>
          <w:lang w:val="en-GB" w:eastAsia="en-GB"/>
        </w:rPr>
      </w:pPr>
      <w:hyperlink w:anchor="_Toc232063642" w:history="1">
        <w:r w:rsidRPr="00DF7A3D">
          <w:rPr>
            <w:rStyle w:val="Hyperlink"/>
            <w:noProof/>
          </w:rPr>
          <w:t>Councillor remuneration in England today</w:t>
        </w:r>
        <w:r>
          <w:rPr>
            <w:noProof/>
            <w:webHidden/>
          </w:rPr>
          <w:tab/>
        </w:r>
        <w:r>
          <w:rPr>
            <w:noProof/>
            <w:webHidden/>
          </w:rPr>
          <w:fldChar w:fldCharType="begin"/>
        </w:r>
        <w:r>
          <w:rPr>
            <w:noProof/>
            <w:webHidden/>
          </w:rPr>
          <w:instrText xml:space="preserve"> PAGEREF _Toc232063642 \h </w:instrText>
        </w:r>
        <w:r>
          <w:rPr>
            <w:noProof/>
            <w:webHidden/>
          </w:rPr>
        </w:r>
        <w:r>
          <w:rPr>
            <w:noProof/>
            <w:webHidden/>
          </w:rPr>
          <w:fldChar w:fldCharType="separate"/>
        </w:r>
        <w:r>
          <w:rPr>
            <w:noProof/>
            <w:webHidden/>
          </w:rPr>
          <w:t>4</w:t>
        </w:r>
        <w:r>
          <w:rPr>
            <w:noProof/>
            <w:webHidden/>
          </w:rPr>
          <w:fldChar w:fldCharType="end"/>
        </w:r>
      </w:hyperlink>
    </w:p>
    <w:p w14:paraId="4E3A847C" w14:textId="4B180CD1" w:rsidR="00287252" w:rsidRDefault="00287252">
      <w:pPr>
        <w:pStyle w:val="TOC2"/>
        <w:tabs>
          <w:tab w:val="right" w:pos="9350"/>
        </w:tabs>
        <w:rPr>
          <w:rFonts w:asciiTheme="minorHAnsi" w:eastAsiaTheme="minorEastAsia" w:hAnsiTheme="minorHAnsi"/>
          <w:noProof/>
          <w:szCs w:val="24"/>
          <w:lang w:val="en-GB" w:eastAsia="en-GB"/>
        </w:rPr>
      </w:pPr>
      <w:hyperlink w:anchor="_Toc232063643" w:history="1">
        <w:r w:rsidRPr="00DF7A3D">
          <w:rPr>
            <w:rStyle w:val="Hyperlink"/>
            <w:noProof/>
          </w:rPr>
          <w:t>Varied approaches across England</w:t>
        </w:r>
        <w:r>
          <w:rPr>
            <w:noProof/>
            <w:webHidden/>
          </w:rPr>
          <w:tab/>
        </w:r>
        <w:r>
          <w:rPr>
            <w:noProof/>
            <w:webHidden/>
          </w:rPr>
          <w:fldChar w:fldCharType="begin"/>
        </w:r>
        <w:r>
          <w:rPr>
            <w:noProof/>
            <w:webHidden/>
          </w:rPr>
          <w:instrText xml:space="preserve"> PAGEREF _Toc232063643 \h </w:instrText>
        </w:r>
        <w:r>
          <w:rPr>
            <w:noProof/>
            <w:webHidden/>
          </w:rPr>
        </w:r>
        <w:r>
          <w:rPr>
            <w:noProof/>
            <w:webHidden/>
          </w:rPr>
          <w:fldChar w:fldCharType="separate"/>
        </w:r>
        <w:r>
          <w:rPr>
            <w:noProof/>
            <w:webHidden/>
          </w:rPr>
          <w:t>5</w:t>
        </w:r>
        <w:r>
          <w:rPr>
            <w:noProof/>
            <w:webHidden/>
          </w:rPr>
          <w:fldChar w:fldCharType="end"/>
        </w:r>
      </w:hyperlink>
    </w:p>
    <w:p w14:paraId="35F96775" w14:textId="3474AEF2" w:rsidR="00287252" w:rsidRDefault="00287252">
      <w:pPr>
        <w:pStyle w:val="TOC2"/>
        <w:tabs>
          <w:tab w:val="right" w:pos="9350"/>
        </w:tabs>
        <w:rPr>
          <w:rFonts w:asciiTheme="minorHAnsi" w:eastAsiaTheme="minorEastAsia" w:hAnsiTheme="minorHAnsi"/>
          <w:noProof/>
          <w:szCs w:val="24"/>
          <w:lang w:val="en-GB" w:eastAsia="en-GB"/>
        </w:rPr>
      </w:pPr>
      <w:hyperlink w:anchor="_Toc232063644" w:history="1">
        <w:r w:rsidRPr="00DF7A3D">
          <w:rPr>
            <w:rStyle w:val="Hyperlink"/>
            <w:noProof/>
          </w:rPr>
          <w:t>How councillor pay is set</w:t>
        </w:r>
        <w:r>
          <w:rPr>
            <w:noProof/>
            <w:webHidden/>
          </w:rPr>
          <w:tab/>
        </w:r>
        <w:r>
          <w:rPr>
            <w:noProof/>
            <w:webHidden/>
          </w:rPr>
          <w:fldChar w:fldCharType="begin"/>
        </w:r>
        <w:r>
          <w:rPr>
            <w:noProof/>
            <w:webHidden/>
          </w:rPr>
          <w:instrText xml:space="preserve"> PAGEREF _Toc232063644 \h </w:instrText>
        </w:r>
        <w:r>
          <w:rPr>
            <w:noProof/>
            <w:webHidden/>
          </w:rPr>
        </w:r>
        <w:r>
          <w:rPr>
            <w:noProof/>
            <w:webHidden/>
          </w:rPr>
          <w:fldChar w:fldCharType="separate"/>
        </w:r>
        <w:r>
          <w:rPr>
            <w:noProof/>
            <w:webHidden/>
          </w:rPr>
          <w:t>6</w:t>
        </w:r>
        <w:r>
          <w:rPr>
            <w:noProof/>
            <w:webHidden/>
          </w:rPr>
          <w:fldChar w:fldCharType="end"/>
        </w:r>
      </w:hyperlink>
    </w:p>
    <w:p w14:paraId="3C02C840" w14:textId="68121672" w:rsidR="00287252" w:rsidRDefault="00287252">
      <w:pPr>
        <w:pStyle w:val="TOC2"/>
        <w:tabs>
          <w:tab w:val="right" w:pos="9350"/>
        </w:tabs>
        <w:rPr>
          <w:rFonts w:asciiTheme="minorHAnsi" w:eastAsiaTheme="minorEastAsia" w:hAnsiTheme="minorHAnsi"/>
          <w:noProof/>
          <w:szCs w:val="24"/>
          <w:lang w:val="en-GB" w:eastAsia="en-GB"/>
        </w:rPr>
      </w:pPr>
      <w:hyperlink w:anchor="_Toc232063645" w:history="1">
        <w:r w:rsidRPr="00DF7A3D">
          <w:rPr>
            <w:rStyle w:val="Hyperlink"/>
            <w:noProof/>
          </w:rPr>
          <w:t>Benchmarking councillor pay</w:t>
        </w:r>
        <w:r>
          <w:rPr>
            <w:noProof/>
            <w:webHidden/>
          </w:rPr>
          <w:tab/>
        </w:r>
        <w:r>
          <w:rPr>
            <w:noProof/>
            <w:webHidden/>
          </w:rPr>
          <w:fldChar w:fldCharType="begin"/>
        </w:r>
        <w:r>
          <w:rPr>
            <w:noProof/>
            <w:webHidden/>
          </w:rPr>
          <w:instrText xml:space="preserve"> PAGEREF _Toc232063645 \h </w:instrText>
        </w:r>
        <w:r>
          <w:rPr>
            <w:noProof/>
            <w:webHidden/>
          </w:rPr>
        </w:r>
        <w:r>
          <w:rPr>
            <w:noProof/>
            <w:webHidden/>
          </w:rPr>
          <w:fldChar w:fldCharType="separate"/>
        </w:r>
        <w:r>
          <w:rPr>
            <w:noProof/>
            <w:webHidden/>
          </w:rPr>
          <w:t>6</w:t>
        </w:r>
        <w:r>
          <w:rPr>
            <w:noProof/>
            <w:webHidden/>
          </w:rPr>
          <w:fldChar w:fldCharType="end"/>
        </w:r>
      </w:hyperlink>
    </w:p>
    <w:p w14:paraId="51C9036F" w14:textId="6246183F" w:rsidR="00287252" w:rsidRDefault="00287252">
      <w:pPr>
        <w:pStyle w:val="TOC2"/>
        <w:tabs>
          <w:tab w:val="right" w:pos="9350"/>
        </w:tabs>
        <w:rPr>
          <w:rFonts w:asciiTheme="minorHAnsi" w:eastAsiaTheme="minorEastAsia" w:hAnsiTheme="minorHAnsi"/>
          <w:noProof/>
          <w:szCs w:val="24"/>
          <w:lang w:val="en-GB" w:eastAsia="en-GB"/>
        </w:rPr>
      </w:pPr>
      <w:hyperlink w:anchor="_Toc232063646" w:history="1">
        <w:r w:rsidRPr="00DF7A3D">
          <w:rPr>
            <w:rStyle w:val="Hyperlink"/>
            <w:noProof/>
          </w:rPr>
          <w:t>Improving accessibility to carers and parents</w:t>
        </w:r>
        <w:r>
          <w:rPr>
            <w:noProof/>
            <w:webHidden/>
          </w:rPr>
          <w:tab/>
        </w:r>
        <w:r>
          <w:rPr>
            <w:noProof/>
            <w:webHidden/>
          </w:rPr>
          <w:fldChar w:fldCharType="begin"/>
        </w:r>
        <w:r>
          <w:rPr>
            <w:noProof/>
            <w:webHidden/>
          </w:rPr>
          <w:instrText xml:space="preserve"> PAGEREF _Toc232063646 \h </w:instrText>
        </w:r>
        <w:r>
          <w:rPr>
            <w:noProof/>
            <w:webHidden/>
          </w:rPr>
        </w:r>
        <w:r>
          <w:rPr>
            <w:noProof/>
            <w:webHidden/>
          </w:rPr>
          <w:fldChar w:fldCharType="separate"/>
        </w:r>
        <w:r>
          <w:rPr>
            <w:noProof/>
            <w:webHidden/>
          </w:rPr>
          <w:t>7</w:t>
        </w:r>
        <w:r>
          <w:rPr>
            <w:noProof/>
            <w:webHidden/>
          </w:rPr>
          <w:fldChar w:fldCharType="end"/>
        </w:r>
      </w:hyperlink>
    </w:p>
    <w:p w14:paraId="27959E68" w14:textId="15D57F04" w:rsidR="00287252" w:rsidRDefault="00287252">
      <w:pPr>
        <w:pStyle w:val="TOC1"/>
        <w:tabs>
          <w:tab w:val="right" w:pos="9350"/>
        </w:tabs>
        <w:rPr>
          <w:rFonts w:asciiTheme="minorHAnsi" w:eastAsiaTheme="minorEastAsia" w:hAnsiTheme="minorHAnsi"/>
          <w:noProof/>
          <w:szCs w:val="24"/>
          <w:lang w:val="en-GB" w:eastAsia="en-GB"/>
        </w:rPr>
      </w:pPr>
      <w:hyperlink w:anchor="_Toc232063647" w:history="1">
        <w:r w:rsidRPr="00DF7A3D">
          <w:rPr>
            <w:rStyle w:val="Hyperlink"/>
            <w:noProof/>
          </w:rPr>
          <w:t>International evidence</w:t>
        </w:r>
        <w:r>
          <w:rPr>
            <w:noProof/>
            <w:webHidden/>
          </w:rPr>
          <w:tab/>
        </w:r>
        <w:r>
          <w:rPr>
            <w:noProof/>
            <w:webHidden/>
          </w:rPr>
          <w:fldChar w:fldCharType="begin"/>
        </w:r>
        <w:r>
          <w:rPr>
            <w:noProof/>
            <w:webHidden/>
          </w:rPr>
          <w:instrText xml:space="preserve"> PAGEREF _Toc232063647 \h </w:instrText>
        </w:r>
        <w:r>
          <w:rPr>
            <w:noProof/>
            <w:webHidden/>
          </w:rPr>
        </w:r>
        <w:r>
          <w:rPr>
            <w:noProof/>
            <w:webHidden/>
          </w:rPr>
          <w:fldChar w:fldCharType="separate"/>
        </w:r>
        <w:r>
          <w:rPr>
            <w:noProof/>
            <w:webHidden/>
          </w:rPr>
          <w:t>7</w:t>
        </w:r>
        <w:r>
          <w:rPr>
            <w:noProof/>
            <w:webHidden/>
          </w:rPr>
          <w:fldChar w:fldCharType="end"/>
        </w:r>
      </w:hyperlink>
    </w:p>
    <w:p w14:paraId="31EAB088" w14:textId="6E20BE94" w:rsidR="00287252" w:rsidRDefault="00287252">
      <w:pPr>
        <w:pStyle w:val="TOC2"/>
        <w:tabs>
          <w:tab w:val="right" w:pos="9350"/>
        </w:tabs>
        <w:rPr>
          <w:rFonts w:asciiTheme="minorHAnsi" w:eastAsiaTheme="minorEastAsia" w:hAnsiTheme="minorHAnsi"/>
          <w:noProof/>
          <w:szCs w:val="24"/>
          <w:lang w:val="en-GB" w:eastAsia="en-GB"/>
        </w:rPr>
      </w:pPr>
      <w:hyperlink w:anchor="_Toc232063648" w:history="1">
        <w:r w:rsidRPr="00DF7A3D">
          <w:rPr>
            <w:rStyle w:val="Hyperlink"/>
            <w:noProof/>
          </w:rPr>
          <w:t>The impact on participation</w:t>
        </w:r>
        <w:r>
          <w:rPr>
            <w:noProof/>
            <w:webHidden/>
          </w:rPr>
          <w:tab/>
        </w:r>
        <w:r>
          <w:rPr>
            <w:noProof/>
            <w:webHidden/>
          </w:rPr>
          <w:fldChar w:fldCharType="begin"/>
        </w:r>
        <w:r>
          <w:rPr>
            <w:noProof/>
            <w:webHidden/>
          </w:rPr>
          <w:instrText xml:space="preserve"> PAGEREF _Toc232063648 \h </w:instrText>
        </w:r>
        <w:r>
          <w:rPr>
            <w:noProof/>
            <w:webHidden/>
          </w:rPr>
        </w:r>
        <w:r>
          <w:rPr>
            <w:noProof/>
            <w:webHidden/>
          </w:rPr>
          <w:fldChar w:fldCharType="separate"/>
        </w:r>
        <w:r>
          <w:rPr>
            <w:noProof/>
            <w:webHidden/>
          </w:rPr>
          <w:t>8</w:t>
        </w:r>
        <w:r>
          <w:rPr>
            <w:noProof/>
            <w:webHidden/>
          </w:rPr>
          <w:fldChar w:fldCharType="end"/>
        </w:r>
      </w:hyperlink>
    </w:p>
    <w:p w14:paraId="13832674" w14:textId="11417548" w:rsidR="00287252" w:rsidRDefault="00287252">
      <w:pPr>
        <w:pStyle w:val="TOC1"/>
        <w:tabs>
          <w:tab w:val="right" w:pos="9350"/>
        </w:tabs>
        <w:rPr>
          <w:rFonts w:asciiTheme="minorHAnsi" w:eastAsiaTheme="minorEastAsia" w:hAnsiTheme="minorHAnsi"/>
          <w:noProof/>
          <w:szCs w:val="24"/>
          <w:lang w:val="en-GB" w:eastAsia="en-GB"/>
        </w:rPr>
      </w:pPr>
      <w:hyperlink w:anchor="_Toc232063649" w:history="1">
        <w:r w:rsidRPr="00DF7A3D">
          <w:rPr>
            <w:rStyle w:val="Hyperlink"/>
            <w:noProof/>
          </w:rPr>
          <w:t>Should the English model change?</w:t>
        </w:r>
        <w:r>
          <w:rPr>
            <w:noProof/>
            <w:webHidden/>
          </w:rPr>
          <w:tab/>
        </w:r>
        <w:r>
          <w:rPr>
            <w:noProof/>
            <w:webHidden/>
          </w:rPr>
          <w:fldChar w:fldCharType="begin"/>
        </w:r>
        <w:r>
          <w:rPr>
            <w:noProof/>
            <w:webHidden/>
          </w:rPr>
          <w:instrText xml:space="preserve"> PAGEREF _Toc232063649 \h </w:instrText>
        </w:r>
        <w:r>
          <w:rPr>
            <w:noProof/>
            <w:webHidden/>
          </w:rPr>
        </w:r>
        <w:r>
          <w:rPr>
            <w:noProof/>
            <w:webHidden/>
          </w:rPr>
          <w:fldChar w:fldCharType="separate"/>
        </w:r>
        <w:r>
          <w:rPr>
            <w:noProof/>
            <w:webHidden/>
          </w:rPr>
          <w:t>9</w:t>
        </w:r>
        <w:r>
          <w:rPr>
            <w:noProof/>
            <w:webHidden/>
          </w:rPr>
          <w:fldChar w:fldCharType="end"/>
        </w:r>
      </w:hyperlink>
    </w:p>
    <w:p w14:paraId="2966E9D6" w14:textId="1A631A21" w:rsidR="00287252" w:rsidRDefault="00287252">
      <w:pPr>
        <w:pStyle w:val="TOC1"/>
        <w:tabs>
          <w:tab w:val="right" w:pos="9350"/>
        </w:tabs>
        <w:rPr>
          <w:rFonts w:asciiTheme="minorHAnsi" w:eastAsiaTheme="minorEastAsia" w:hAnsiTheme="minorHAnsi"/>
          <w:noProof/>
          <w:szCs w:val="24"/>
          <w:lang w:val="en-GB" w:eastAsia="en-GB"/>
        </w:rPr>
      </w:pPr>
      <w:hyperlink w:anchor="_Toc232063650" w:history="1">
        <w:r w:rsidRPr="00DF7A3D">
          <w:rPr>
            <w:rStyle w:val="Hyperlink"/>
            <w:noProof/>
          </w:rPr>
          <w:t>Conclusions</w:t>
        </w:r>
        <w:r>
          <w:rPr>
            <w:noProof/>
            <w:webHidden/>
          </w:rPr>
          <w:tab/>
        </w:r>
        <w:r>
          <w:rPr>
            <w:noProof/>
            <w:webHidden/>
          </w:rPr>
          <w:fldChar w:fldCharType="begin"/>
        </w:r>
        <w:r>
          <w:rPr>
            <w:noProof/>
            <w:webHidden/>
          </w:rPr>
          <w:instrText xml:space="preserve"> PAGEREF _Toc232063650 \h </w:instrText>
        </w:r>
        <w:r>
          <w:rPr>
            <w:noProof/>
            <w:webHidden/>
          </w:rPr>
        </w:r>
        <w:r>
          <w:rPr>
            <w:noProof/>
            <w:webHidden/>
          </w:rPr>
          <w:fldChar w:fldCharType="separate"/>
        </w:r>
        <w:r>
          <w:rPr>
            <w:noProof/>
            <w:webHidden/>
          </w:rPr>
          <w:t>11</w:t>
        </w:r>
        <w:r>
          <w:rPr>
            <w:noProof/>
            <w:webHidden/>
          </w:rPr>
          <w:fldChar w:fldCharType="end"/>
        </w:r>
      </w:hyperlink>
    </w:p>
    <w:p w14:paraId="6C258B55" w14:textId="58F56BA8" w:rsidR="00287252" w:rsidRDefault="00287252">
      <w:pPr>
        <w:pStyle w:val="TOC1"/>
        <w:tabs>
          <w:tab w:val="right" w:pos="9350"/>
        </w:tabs>
        <w:rPr>
          <w:rFonts w:asciiTheme="minorHAnsi" w:eastAsiaTheme="minorEastAsia" w:hAnsiTheme="minorHAnsi"/>
          <w:noProof/>
          <w:szCs w:val="24"/>
          <w:lang w:val="en-GB" w:eastAsia="en-GB"/>
        </w:rPr>
      </w:pPr>
      <w:hyperlink w:anchor="_Toc232063651" w:history="1">
        <w:r w:rsidRPr="00DF7A3D">
          <w:rPr>
            <w:rStyle w:val="Hyperlink"/>
            <w:noProof/>
          </w:rPr>
          <w:t>References</w:t>
        </w:r>
        <w:r>
          <w:rPr>
            <w:noProof/>
            <w:webHidden/>
          </w:rPr>
          <w:tab/>
        </w:r>
        <w:r>
          <w:rPr>
            <w:noProof/>
            <w:webHidden/>
          </w:rPr>
          <w:fldChar w:fldCharType="begin"/>
        </w:r>
        <w:r>
          <w:rPr>
            <w:noProof/>
            <w:webHidden/>
          </w:rPr>
          <w:instrText xml:space="preserve"> PAGEREF _Toc232063651 \h </w:instrText>
        </w:r>
        <w:r>
          <w:rPr>
            <w:noProof/>
            <w:webHidden/>
          </w:rPr>
        </w:r>
        <w:r>
          <w:rPr>
            <w:noProof/>
            <w:webHidden/>
          </w:rPr>
          <w:fldChar w:fldCharType="separate"/>
        </w:r>
        <w:r>
          <w:rPr>
            <w:noProof/>
            <w:webHidden/>
          </w:rPr>
          <w:t>12</w:t>
        </w:r>
        <w:r>
          <w:rPr>
            <w:noProof/>
            <w:webHidden/>
          </w:rPr>
          <w:fldChar w:fldCharType="end"/>
        </w:r>
      </w:hyperlink>
    </w:p>
    <w:p w14:paraId="436D0C1D" w14:textId="775F3EDA" w:rsidR="00A04BDA" w:rsidRDefault="00A04BDA">
      <w:r>
        <w:fldChar w:fldCharType="end"/>
      </w:r>
    </w:p>
    <w:p w14:paraId="61808A3B" w14:textId="77777777" w:rsidR="00A04BDA" w:rsidRDefault="00A04BDA">
      <w:pPr>
        <w:rPr>
          <w:rFonts w:ascii="Times New Roman" w:eastAsiaTheme="majorEastAsia" w:hAnsi="Times New Roman" w:cstheme="majorBidi"/>
          <w:color w:val="005929" w:themeColor="accent1" w:themeShade="BF"/>
          <w:sz w:val="40"/>
          <w:szCs w:val="40"/>
          <w:lang w:val="en-GB"/>
        </w:rPr>
      </w:pPr>
      <w:r>
        <w:br w:type="page"/>
      </w:r>
    </w:p>
    <w:p w14:paraId="05941518" w14:textId="49767C04" w:rsidR="008E6024" w:rsidRPr="00A04BDA" w:rsidRDefault="008E6024" w:rsidP="00A04BDA">
      <w:pPr>
        <w:pStyle w:val="Heading1"/>
      </w:pPr>
      <w:bookmarkStart w:id="0" w:name="_Toc232063640"/>
      <w:r w:rsidRPr="00A04BDA">
        <w:lastRenderedPageBreak/>
        <w:t>Executive</w:t>
      </w:r>
      <w:r w:rsidR="00A04BDA" w:rsidRPr="00A04BDA">
        <w:t xml:space="preserve"> S</w:t>
      </w:r>
      <w:r w:rsidRPr="00A04BDA">
        <w:t>ummary</w:t>
      </w:r>
      <w:bookmarkEnd w:id="0"/>
    </w:p>
    <w:p w14:paraId="6E46FA08" w14:textId="016A2E1B" w:rsidR="008E6024" w:rsidRDefault="008E6024" w:rsidP="008E6024">
      <w:pPr>
        <w:spacing w:line="278" w:lineRule="auto"/>
      </w:pPr>
      <w:r w:rsidRPr="00802F33">
        <w:t xml:space="preserve">Councillor remuneration is a key determinant of </w:t>
      </w:r>
      <w:r w:rsidR="00F310D5">
        <w:t xml:space="preserve">enabling participation </w:t>
      </w:r>
      <w:r w:rsidRPr="00802F33">
        <w:t xml:space="preserve">in local democracy and </w:t>
      </w:r>
      <w:r w:rsidR="00F310D5">
        <w:t xml:space="preserve">of </w:t>
      </w:r>
      <w:r w:rsidRPr="00802F33">
        <w:t>how effectively councils operate.</w:t>
      </w:r>
      <w:r w:rsidR="00A04BDA">
        <w:t xml:space="preserve">  The cost (£230m) </w:t>
      </w:r>
      <w:r w:rsidR="00F45665">
        <w:t xml:space="preserve">in 2024/25 </w:t>
      </w:r>
      <w:r w:rsidR="00A04BDA">
        <w:t>is also significant.</w:t>
      </w:r>
    </w:p>
    <w:p w14:paraId="6AA5C15B" w14:textId="65C0BB3B" w:rsidR="00A04BDA" w:rsidRPr="00A04BDA" w:rsidRDefault="00A04BDA" w:rsidP="00A04BDA">
      <w:pPr>
        <w:spacing w:line="278" w:lineRule="auto"/>
        <w:rPr>
          <w:lang w:val="en-GB"/>
        </w:rPr>
      </w:pPr>
      <w:r w:rsidRPr="00A04BDA">
        <w:rPr>
          <w:lang w:val="en-GB"/>
        </w:rPr>
        <w:t xml:space="preserve">The current system of councillor allowances in England is characterised by significant local variation, reflecting its decentralised design. Allowances are determined independently by individual councils, </w:t>
      </w:r>
      <w:r w:rsidR="00F45665">
        <w:rPr>
          <w:lang w:val="en-GB"/>
        </w:rPr>
        <w:t xml:space="preserve">based on recommendations from volunteer Independent Remuneration Panels (IRPs) </w:t>
      </w:r>
      <w:r w:rsidRPr="00A04BDA">
        <w:rPr>
          <w:lang w:val="en-GB"/>
        </w:rPr>
        <w:t xml:space="preserve">which has produced wide disparities. </w:t>
      </w:r>
      <w:r>
        <w:rPr>
          <w:lang w:val="en-GB"/>
        </w:rPr>
        <w:t>The</w:t>
      </w:r>
      <w:r w:rsidRPr="00A04BDA">
        <w:rPr>
          <w:lang w:val="en-GB"/>
        </w:rPr>
        <w:t xml:space="preserve"> approach sits uneasily alongside the evolving demands of the councillor role. In practice, allowances have not kept pace with inflation or the increasing complexity and workload of local governance. Councillors now typically devote more than 20 hours per week to their duties, with a notable minority contributing full-time equivalent hours, highlighting a growing gap between expectations and compensation.</w:t>
      </w:r>
    </w:p>
    <w:p w14:paraId="73F7A5E2" w14:textId="622E08F3" w:rsidR="00A04BDA" w:rsidRPr="00A04BDA" w:rsidRDefault="00A04BDA" w:rsidP="00A04BDA">
      <w:pPr>
        <w:spacing w:line="278" w:lineRule="auto"/>
        <w:rPr>
          <w:lang w:val="en-GB"/>
        </w:rPr>
      </w:pPr>
      <w:r w:rsidRPr="00A04BDA">
        <w:rPr>
          <w:lang w:val="en-GB"/>
        </w:rPr>
        <w:t>These structural features have important implications for representation and participation. Financial constraints continue to act as a barrier to entry and retention</w:t>
      </w:r>
      <w:r>
        <w:rPr>
          <w:lang w:val="en-GB"/>
        </w:rPr>
        <w:t xml:space="preserve"> of councillors</w:t>
      </w:r>
      <w:r w:rsidRPr="00A04BDA">
        <w:rPr>
          <w:lang w:val="en-GB"/>
        </w:rPr>
        <w:t>, particularly for individuals of working age, those without independent financial means, and people with caring responsibilities. Evidence suggests that remuneration levels directly influence both the diversity of candidates willing to stand for office and their ability to remain in post. Although measures such as carers’ allowances and parental leave provisions exist, they are inconsistently applied and remain under-utilised, further limiting their effectiveness in broadening participation.</w:t>
      </w:r>
    </w:p>
    <w:p w14:paraId="7EA3C988" w14:textId="4628B0E9" w:rsidR="00A04BDA" w:rsidRDefault="00A04BDA" w:rsidP="00A04BDA">
      <w:pPr>
        <w:spacing w:line="278" w:lineRule="auto"/>
        <w:rPr>
          <w:lang w:val="en-GB"/>
        </w:rPr>
      </w:pPr>
      <w:r>
        <w:rPr>
          <w:lang w:val="en-GB"/>
        </w:rPr>
        <w:t>T</w:t>
      </w:r>
      <w:r w:rsidRPr="00A04BDA">
        <w:rPr>
          <w:lang w:val="en-GB"/>
        </w:rPr>
        <w:t>ensions persist within the underlying model of councillor remuneration. The longstanding notion of a ‘public service discount’</w:t>
      </w:r>
      <w:r>
        <w:rPr>
          <w:lang w:val="en-GB"/>
        </w:rPr>
        <w:t xml:space="preserve">, </w:t>
      </w:r>
      <w:r w:rsidRPr="00A04BDA">
        <w:rPr>
          <w:lang w:val="en-GB"/>
        </w:rPr>
        <w:t>that elected representatives should accept below-market compensation</w:t>
      </w:r>
      <w:r>
        <w:rPr>
          <w:lang w:val="en-GB"/>
        </w:rPr>
        <w:t xml:space="preserve">, </w:t>
      </w:r>
      <w:r w:rsidRPr="00A04BDA">
        <w:rPr>
          <w:lang w:val="en-GB"/>
        </w:rPr>
        <w:t>constrain</w:t>
      </w:r>
      <w:r>
        <w:rPr>
          <w:lang w:val="en-GB"/>
        </w:rPr>
        <w:t>s</w:t>
      </w:r>
      <w:r w:rsidRPr="00A04BDA">
        <w:rPr>
          <w:lang w:val="en-GB"/>
        </w:rPr>
        <w:t xml:space="preserve"> efforts to widen access and reflect the professionalisation of the role. Taken together, these dynamics point to a growing misalignment between the responsibilities placed on councillors and the way in which their contributions are recognised and rewarded.</w:t>
      </w:r>
    </w:p>
    <w:p w14:paraId="00BEDE61" w14:textId="77777777" w:rsidR="00A04BDA" w:rsidRPr="00A04BDA" w:rsidRDefault="00A04BDA" w:rsidP="00A04BDA">
      <w:pPr>
        <w:spacing w:line="278" w:lineRule="auto"/>
        <w:rPr>
          <w:lang w:val="en-GB"/>
        </w:rPr>
      </w:pPr>
    </w:p>
    <w:p w14:paraId="7AD328BF" w14:textId="69340441" w:rsidR="008E6024" w:rsidRPr="00C42F42" w:rsidRDefault="00A04BDA" w:rsidP="00C42F42">
      <w:pPr>
        <w:spacing w:line="278" w:lineRule="auto"/>
      </w:pPr>
      <w:r>
        <w:rPr>
          <w:b/>
          <w:bCs/>
        </w:rPr>
        <w:t>Key r</w:t>
      </w:r>
      <w:r w:rsidR="008E6024" w:rsidRPr="00C42F42">
        <w:rPr>
          <w:b/>
          <w:bCs/>
        </w:rPr>
        <w:t>ecommendations</w:t>
      </w:r>
    </w:p>
    <w:p w14:paraId="11CF1DB4" w14:textId="6915B36D" w:rsidR="008E6024" w:rsidRPr="00802F33" w:rsidRDefault="00C42F42" w:rsidP="008E6024">
      <w:pPr>
        <w:numPr>
          <w:ilvl w:val="0"/>
          <w:numId w:val="38"/>
        </w:numPr>
        <w:spacing w:line="278" w:lineRule="auto"/>
      </w:pPr>
      <w:r>
        <w:rPr>
          <w:b/>
          <w:bCs/>
        </w:rPr>
        <w:t>Review the allowance system and s</w:t>
      </w:r>
      <w:r w:rsidR="008E6024" w:rsidRPr="00802F33">
        <w:rPr>
          <w:b/>
          <w:bCs/>
        </w:rPr>
        <w:t xml:space="preserve">et </w:t>
      </w:r>
      <w:r>
        <w:rPr>
          <w:b/>
          <w:bCs/>
        </w:rPr>
        <w:t>remu</w:t>
      </w:r>
      <w:r w:rsidR="00A04BDA">
        <w:rPr>
          <w:b/>
          <w:bCs/>
        </w:rPr>
        <w:t>n</w:t>
      </w:r>
      <w:r>
        <w:rPr>
          <w:b/>
          <w:bCs/>
        </w:rPr>
        <w:t>eration</w:t>
      </w:r>
      <w:r w:rsidR="008E6024" w:rsidRPr="00802F33">
        <w:rPr>
          <w:b/>
          <w:bCs/>
        </w:rPr>
        <w:t xml:space="preserve"> levels</w:t>
      </w:r>
      <w:r w:rsidR="008E6024" w:rsidRPr="00802F33">
        <w:t xml:space="preserve"> to support wider participation</w:t>
      </w:r>
      <w:r>
        <w:t xml:space="preserve"> and fair compensation for the work councillors undertake.</w:t>
      </w:r>
    </w:p>
    <w:p w14:paraId="51B32EAC" w14:textId="6E5C9255" w:rsidR="008E6024" w:rsidRPr="00802F33" w:rsidRDefault="008E6024" w:rsidP="008E6024">
      <w:pPr>
        <w:numPr>
          <w:ilvl w:val="0"/>
          <w:numId w:val="38"/>
        </w:numPr>
        <w:spacing w:line="278" w:lineRule="auto"/>
      </w:pPr>
      <w:r w:rsidRPr="00802F33">
        <w:rPr>
          <w:b/>
          <w:bCs/>
        </w:rPr>
        <w:t xml:space="preserve">Strengthen </w:t>
      </w:r>
      <w:r w:rsidR="00A04BDA">
        <w:rPr>
          <w:b/>
          <w:bCs/>
        </w:rPr>
        <w:t xml:space="preserve">the </w:t>
      </w:r>
      <w:r w:rsidRPr="00802F33">
        <w:rPr>
          <w:b/>
          <w:bCs/>
        </w:rPr>
        <w:t>national guidance</w:t>
      </w:r>
      <w:r w:rsidR="00A04BDA">
        <w:rPr>
          <w:b/>
          <w:bCs/>
        </w:rPr>
        <w:t xml:space="preserve"> and evidence base</w:t>
      </w:r>
      <w:r w:rsidRPr="00802F33">
        <w:t xml:space="preserve"> to </w:t>
      </w:r>
      <w:r w:rsidR="00A04BDA">
        <w:t xml:space="preserve">support councils and </w:t>
      </w:r>
      <w:r w:rsidR="00F45665">
        <w:t xml:space="preserve">IRPs </w:t>
      </w:r>
      <w:r w:rsidR="00A04BDA">
        <w:t xml:space="preserve">to </w:t>
      </w:r>
      <w:r w:rsidRPr="00802F33">
        <w:t>improve consistency and transparency.</w:t>
      </w:r>
    </w:p>
    <w:p w14:paraId="3A1B8DA4" w14:textId="0354D074" w:rsidR="008E6024" w:rsidRPr="00A04BDA" w:rsidRDefault="008E6024" w:rsidP="00A04BDA">
      <w:pPr>
        <w:numPr>
          <w:ilvl w:val="0"/>
          <w:numId w:val="38"/>
        </w:numPr>
        <w:spacing w:line="278" w:lineRule="auto"/>
      </w:pPr>
      <w:r w:rsidRPr="00802F33">
        <w:rPr>
          <w:b/>
          <w:bCs/>
        </w:rPr>
        <w:t>Expand support measures</w:t>
      </w:r>
      <w:r w:rsidRPr="00802F33">
        <w:t xml:space="preserve"> </w:t>
      </w:r>
      <w:r w:rsidR="00A04BDA">
        <w:t xml:space="preserve">such as </w:t>
      </w:r>
      <w:r w:rsidRPr="00802F33">
        <w:t>carers’ allowances</w:t>
      </w:r>
      <w:r w:rsidR="00A04BDA">
        <w:t xml:space="preserve"> and arrangements for </w:t>
      </w:r>
      <w:r w:rsidRPr="00802F33">
        <w:t>parental leave.</w:t>
      </w:r>
      <w:r w:rsidRPr="00A04BDA">
        <w:rPr>
          <w:b/>
          <w:bCs/>
        </w:rPr>
        <w:br w:type="page"/>
      </w:r>
    </w:p>
    <w:p w14:paraId="0AA82802" w14:textId="7EF93963" w:rsidR="00004998" w:rsidRPr="00A04BDA" w:rsidRDefault="00004998" w:rsidP="00A04BDA">
      <w:pPr>
        <w:pStyle w:val="Heading1"/>
      </w:pPr>
      <w:bookmarkStart w:id="1" w:name="_Toc232063641"/>
      <w:r w:rsidRPr="00A04BDA">
        <w:lastRenderedPageBreak/>
        <w:t>Introduction</w:t>
      </w:r>
      <w:bookmarkEnd w:id="1"/>
    </w:p>
    <w:p w14:paraId="70137EAF" w14:textId="3EC023E5" w:rsidR="00004998" w:rsidRDefault="00004998" w:rsidP="00004998">
      <w:r w:rsidRPr="00CB1451">
        <w:t xml:space="preserve">The question of how local councillors should be remunerated </w:t>
      </w:r>
      <w:r>
        <w:t xml:space="preserve">is central to issues of public service and fair local democracy.  </w:t>
      </w:r>
      <w:r w:rsidRPr="00CB1451">
        <w:t>While often treated as a technical</w:t>
      </w:r>
      <w:r>
        <w:t xml:space="preserve"> issue</w:t>
      </w:r>
      <w:r w:rsidRPr="00CB1451">
        <w:t xml:space="preserve">, the way councillors are </w:t>
      </w:r>
      <w:r w:rsidR="00F310D5">
        <w:t xml:space="preserve">remunerated </w:t>
      </w:r>
      <w:r w:rsidRPr="00CB1451">
        <w:t>has wide implications for who stands for office</w:t>
      </w:r>
      <w:r>
        <w:t xml:space="preserve"> </w:t>
      </w:r>
      <w:r w:rsidRPr="00CB1451">
        <w:t>and how legitimate local democracy is perceived to be</w:t>
      </w:r>
      <w:r>
        <w:t>, as well as accounting for over £2</w:t>
      </w:r>
      <w:r w:rsidR="00F45665">
        <w:t>3</w:t>
      </w:r>
      <w:r>
        <w:t>0m of public spending</w:t>
      </w:r>
      <w:r w:rsidRPr="00CB1451">
        <w:t>. Across England and internationally, systems of councillor remuneration reflect an ongoing tension between viewing councillors as civic volunteers and recognising them as professional</w:t>
      </w:r>
      <w:r>
        <w:t>s</w:t>
      </w:r>
      <w:r w:rsidRPr="00CB1451">
        <w:t xml:space="preserve"> operating in complex governance environments</w:t>
      </w:r>
      <w:r w:rsidR="00F310D5">
        <w:t xml:space="preserve"> overseeing multi-faceted organisations</w:t>
      </w:r>
      <w:r w:rsidRPr="00CB1451">
        <w:t>.</w:t>
      </w:r>
      <w:r>
        <w:t xml:space="preserve">  Inappropriate </w:t>
      </w:r>
      <w:r w:rsidR="004E5245">
        <w:t>reward</w:t>
      </w:r>
      <w:r>
        <w:t xml:space="preserve"> systems can limit the access to these roles, particularly for people with full-time careers or caring responsibilities.  Given the increasing complexity and volume of work </w:t>
      </w:r>
      <w:r w:rsidR="00F310D5">
        <w:t xml:space="preserve">undertaken </w:t>
      </w:r>
      <w:r>
        <w:t>by councillors, and the reduced number of councillors due to local government reorganisations</w:t>
      </w:r>
      <w:r w:rsidR="00C367EC">
        <w:t xml:space="preserve"> that have taken place</w:t>
      </w:r>
      <w:r>
        <w:t xml:space="preserve">, it is </w:t>
      </w:r>
      <w:r w:rsidR="00C367EC">
        <w:t xml:space="preserve">now </w:t>
      </w:r>
      <w:r>
        <w:t xml:space="preserve">time to look again at how these roles are </w:t>
      </w:r>
      <w:r w:rsidR="004E5245">
        <w:t>remunerated</w:t>
      </w:r>
      <w:r>
        <w:t>.</w:t>
      </w:r>
    </w:p>
    <w:p w14:paraId="36EFF4FD" w14:textId="77777777" w:rsidR="00004998" w:rsidRPr="00CB1451" w:rsidRDefault="00004998" w:rsidP="00004998">
      <w:pPr>
        <w:spacing w:line="278" w:lineRule="auto"/>
      </w:pPr>
    </w:p>
    <w:p w14:paraId="2E9659AA" w14:textId="139E5397" w:rsidR="00004998" w:rsidRPr="00FD2F8D" w:rsidRDefault="00004998" w:rsidP="00A04BDA">
      <w:pPr>
        <w:pStyle w:val="Heading1"/>
      </w:pPr>
      <w:bookmarkStart w:id="2" w:name="_Toc232063642"/>
      <w:r>
        <w:t xml:space="preserve">Councillor </w:t>
      </w:r>
      <w:r w:rsidR="00254AB1">
        <w:t>remuneration</w:t>
      </w:r>
      <w:r>
        <w:t xml:space="preserve"> in England today</w:t>
      </w:r>
      <w:bookmarkEnd w:id="2"/>
    </w:p>
    <w:p w14:paraId="58FA9ABC" w14:textId="53DD5AFD" w:rsidR="00004998" w:rsidRDefault="004E5245" w:rsidP="00004998">
      <w:r>
        <w:t>T</w:t>
      </w:r>
      <w:r w:rsidR="00004998" w:rsidRPr="00CB1451">
        <w:t>he current</w:t>
      </w:r>
      <w:r>
        <w:t xml:space="preserve"> English</w:t>
      </w:r>
      <w:r w:rsidR="00004998" w:rsidRPr="00CB1451">
        <w:t xml:space="preserve"> system is based on locally determined allowances rather than formal salaries. </w:t>
      </w:r>
      <w:r w:rsidR="00004998">
        <w:t>E</w:t>
      </w:r>
      <w:r w:rsidR="00004998" w:rsidRPr="00CB1451">
        <w:t xml:space="preserve">ach council is responsible for setting its own scheme, drawing on advice from an Independent Remuneration Panel (IRP). </w:t>
      </w:r>
      <w:r w:rsidR="00004998">
        <w:t xml:space="preserve"> </w:t>
      </w:r>
      <w:r w:rsidR="00004998" w:rsidRPr="00CB1451">
        <w:t xml:space="preserve">A central principle underlying the system is that councillors should be compensated, but not fully paid, for their work. This is often described as a </w:t>
      </w:r>
      <w:r w:rsidR="00A04BDA">
        <w:t>‘</w:t>
      </w:r>
      <w:r w:rsidR="00004998" w:rsidRPr="00CB1451">
        <w:t>public service discount</w:t>
      </w:r>
      <w:r w:rsidR="00A04BDA">
        <w:t>’</w:t>
      </w:r>
      <w:r w:rsidR="00004998" w:rsidRPr="00CB1451">
        <w:t>, reflecting the expectation that elected office carries an element of civic duty</w:t>
      </w:r>
      <w:r w:rsidR="00C367EC">
        <w:t>, or a ‘voluntary’ aspect</w:t>
      </w:r>
      <w:r w:rsidR="00004998" w:rsidRPr="00CB1451">
        <w:t>.</w:t>
      </w:r>
      <w:r w:rsidR="00C367EC">
        <w:t xml:space="preserve"> Why this is the case </w:t>
      </w:r>
      <w:r w:rsidR="002A7C50">
        <w:t>is never adequately explained</w:t>
      </w:r>
      <w:r w:rsidR="008F7539">
        <w:t>, although its roots may lie in the 19</w:t>
      </w:r>
      <w:r w:rsidR="008F7539" w:rsidRPr="008F7539">
        <w:rPr>
          <w:vertAlign w:val="superscript"/>
        </w:rPr>
        <w:t>th</w:t>
      </w:r>
      <w:r w:rsidR="008F7539">
        <w:t xml:space="preserve"> Century conceptualisation of </w:t>
      </w:r>
      <w:r w:rsidR="00C25682">
        <w:t>public</w:t>
      </w:r>
      <w:r w:rsidR="008F7539" w:rsidRPr="008F7539">
        <w:rPr>
          <w:lang w:val="en-GB"/>
        </w:rPr>
        <w:t xml:space="preserve"> office as a civic duty undertaken by the propertied classes.</w:t>
      </w:r>
      <w:r w:rsidR="008F7539">
        <w:rPr>
          <w:lang w:val="en-GB"/>
        </w:rPr>
        <w:t xml:space="preserve">  The </w:t>
      </w:r>
      <w:r w:rsidR="00A04BDA">
        <w:rPr>
          <w:lang w:val="en-GB"/>
        </w:rPr>
        <w:t>‘</w:t>
      </w:r>
      <w:r w:rsidR="008F7539">
        <w:rPr>
          <w:lang w:val="en-GB"/>
        </w:rPr>
        <w:t>discount</w:t>
      </w:r>
      <w:r w:rsidR="00A04BDA">
        <w:rPr>
          <w:lang w:val="en-GB"/>
        </w:rPr>
        <w:t>’</w:t>
      </w:r>
      <w:r w:rsidR="008F7539">
        <w:rPr>
          <w:lang w:val="en-GB"/>
        </w:rPr>
        <w:t xml:space="preserve"> idea now </w:t>
      </w:r>
      <w:r w:rsidR="00C367EC">
        <w:t>needs to be challenged</w:t>
      </w:r>
      <w:r w:rsidR="002A7C50">
        <w:t>,</w:t>
      </w:r>
      <w:r w:rsidR="00C367EC">
        <w:t xml:space="preserve"> given the complexity of the role of the councillor and the increasing </w:t>
      </w:r>
      <w:r w:rsidR="00C25682">
        <w:t>workloads</w:t>
      </w:r>
      <w:r w:rsidR="00C367EC">
        <w:t xml:space="preserve"> they experience</w:t>
      </w:r>
      <w:r w:rsidR="002A7C50">
        <w:t>. Any notion of councillors being volunteers does not fit the reality of their work</w:t>
      </w:r>
      <w:r w:rsidR="008F7539">
        <w:t>, responsibilities</w:t>
      </w:r>
      <w:r w:rsidR="002A7C50">
        <w:t xml:space="preserve"> or position</w:t>
      </w:r>
      <w:r w:rsidR="008F7539">
        <w:t>, and it conflicts with principles of diversity and inclusion</w:t>
      </w:r>
      <w:r w:rsidR="00C367EC">
        <w:t>.</w:t>
      </w:r>
      <w:r w:rsidR="00004998" w:rsidRPr="00CB1451">
        <w:t xml:space="preserve"> In practice, IRPs seek to balance this principle against evidence of workload and responsibility, drawing on </w:t>
      </w:r>
      <w:r w:rsidR="00F45665">
        <w:t>published pay level data</w:t>
      </w:r>
      <w:r w:rsidR="00004998" w:rsidRPr="00CB1451">
        <w:t xml:space="preserve">, councillor surveys, and </w:t>
      </w:r>
      <w:r w:rsidR="00F45665">
        <w:t xml:space="preserve">benchmarking </w:t>
      </w:r>
      <w:r w:rsidR="00004998" w:rsidRPr="00CB1451">
        <w:t xml:space="preserve">comparisons with similar authorities. The result is not a single model but a spectrum: in some councils, the basic allowance remains relatively modest and aligned with a </w:t>
      </w:r>
      <w:r w:rsidR="00004998">
        <w:t>voluntary</w:t>
      </w:r>
      <w:r w:rsidR="00004998" w:rsidRPr="00CB1451">
        <w:t xml:space="preserve"> conception of the role, while in others</w:t>
      </w:r>
      <w:r w:rsidR="00004998">
        <w:t xml:space="preserve"> (</w:t>
      </w:r>
      <w:r w:rsidR="00004998" w:rsidRPr="00CB1451">
        <w:t>particularly for leaders or executive members</w:t>
      </w:r>
      <w:r w:rsidR="00004998">
        <w:t xml:space="preserve">) </w:t>
      </w:r>
      <w:r w:rsidR="00004998" w:rsidRPr="00CB1451">
        <w:t>remuneration resemble</w:t>
      </w:r>
      <w:r w:rsidR="00004998">
        <w:t>s</w:t>
      </w:r>
      <w:r w:rsidR="00004998" w:rsidRPr="00CB1451">
        <w:t xml:space="preserve"> a full-time salary.</w:t>
      </w:r>
      <w:r w:rsidR="008F564D">
        <w:t xml:space="preserve"> </w:t>
      </w:r>
    </w:p>
    <w:p w14:paraId="55800548" w14:textId="77777777" w:rsidR="00A04BDA" w:rsidRDefault="00A04BDA">
      <w:r>
        <w:br w:type="page"/>
      </w:r>
    </w:p>
    <w:p w14:paraId="210EFF2E" w14:textId="2A097C75" w:rsidR="007F6CFC" w:rsidRDefault="00004998" w:rsidP="00004998">
      <w:r w:rsidRPr="00BC136E">
        <w:lastRenderedPageBreak/>
        <w:t xml:space="preserve">A </w:t>
      </w:r>
      <w:r>
        <w:t>new</w:t>
      </w:r>
      <w:r w:rsidRPr="00BC136E">
        <w:t xml:space="preserve"> comprehensive </w:t>
      </w:r>
      <w:r>
        <w:t>report on</w:t>
      </w:r>
      <w:r w:rsidRPr="00BC136E">
        <w:t xml:space="preserve"> councillor allowances across England</w:t>
      </w:r>
      <w:r w:rsidR="00A04BDA">
        <w:t>,</w:t>
      </w:r>
      <w:r w:rsidRPr="00BC136E">
        <w:t xml:space="preserve"> </w:t>
      </w:r>
      <w:r>
        <w:t xml:space="preserve">developed </w:t>
      </w:r>
      <w:r w:rsidR="00A04BDA">
        <w:t xml:space="preserve">and independently published </w:t>
      </w:r>
      <w:r>
        <w:t xml:space="preserve">by Ray </w:t>
      </w:r>
      <w:r w:rsidR="00A04BDA">
        <w:t>Tomkinson</w:t>
      </w:r>
      <w:r w:rsidR="007F6CFC">
        <w:rPr>
          <w:rStyle w:val="EndnoteReference"/>
        </w:rPr>
        <w:endnoteReference w:id="1"/>
      </w:r>
      <w:r w:rsidR="007F6CFC">
        <w:t xml:space="preserve">, </w:t>
      </w:r>
      <w:r w:rsidR="007F6CFC" w:rsidRPr="00BC136E">
        <w:t xml:space="preserve">provides </w:t>
      </w:r>
      <w:r w:rsidR="007F6CFC">
        <w:t>a</w:t>
      </w:r>
      <w:r w:rsidR="007F6CFC" w:rsidRPr="00BC136E">
        <w:t xml:space="preserve"> detailed empirical picture of how this system operates in practice. Drawing o</w:t>
      </w:r>
      <w:r w:rsidR="007F6CFC">
        <w:t>n</w:t>
      </w:r>
      <w:r w:rsidR="007F6CFC" w:rsidRPr="00BC136E">
        <w:t xml:space="preserve"> analysis of schemes from over 300 local authorities, his work estimates that the overall cost of councillor allowances in 2024/25 was approximately £2</w:t>
      </w:r>
      <w:r w:rsidR="007F6CFC">
        <w:t>30</w:t>
      </w:r>
      <w:r w:rsidR="007F6CFC" w:rsidRPr="00BC136E">
        <w:t xml:space="preserve"> million, covering more than 16,000 councillors across the country. </w:t>
      </w:r>
    </w:p>
    <w:p w14:paraId="57605C3B" w14:textId="77777777" w:rsidR="007F6CFC" w:rsidRDefault="007F6CFC" w:rsidP="00004998">
      <w:r>
        <w:t>The</w:t>
      </w:r>
      <w:r w:rsidRPr="00FD2F8D">
        <w:t xml:space="preserve"> analysis </w:t>
      </w:r>
      <w:r>
        <w:t>naturally has some limitations</w:t>
      </w:r>
      <w:r w:rsidRPr="00FD2F8D">
        <w:t xml:space="preserve">. </w:t>
      </w:r>
      <w:r>
        <w:t>Notably</w:t>
      </w:r>
      <w:r w:rsidRPr="00FD2F8D">
        <w:t xml:space="preserve">, it relies on data taken from council websites, which are often incomplete, inconsistent, or difficult to navigate, meaning some figures are estimates rather than fully verified totals. The absence of a single national dataset reinforces this, so </w:t>
      </w:r>
      <w:r>
        <w:t>results</w:t>
      </w:r>
      <w:r w:rsidRPr="00FD2F8D">
        <w:t xml:space="preserve"> should be treated with caution. </w:t>
      </w:r>
    </w:p>
    <w:p w14:paraId="26BF1914" w14:textId="77777777" w:rsidR="007F6CFC" w:rsidRDefault="007F6CFC" w:rsidP="00004998">
      <w:pPr>
        <w:spacing w:line="278" w:lineRule="auto"/>
      </w:pPr>
    </w:p>
    <w:p w14:paraId="0C31DF59" w14:textId="77777777" w:rsidR="007F6CFC" w:rsidRPr="00A04BDA" w:rsidRDefault="007F6CFC" w:rsidP="00A04BDA">
      <w:pPr>
        <w:pStyle w:val="Heading2"/>
      </w:pPr>
      <w:bookmarkStart w:id="3" w:name="_Toc232063643"/>
      <w:r w:rsidRPr="00A04BDA">
        <w:t>Varied approaches across England</w:t>
      </w:r>
      <w:bookmarkEnd w:id="3"/>
    </w:p>
    <w:p w14:paraId="70520CF4" w14:textId="2F15E7AB" w:rsidR="007F6CFC" w:rsidRPr="00BC136E" w:rsidRDefault="007F6CFC" w:rsidP="008F7539">
      <w:r w:rsidRPr="00BC136E">
        <w:t>The</w:t>
      </w:r>
      <w:r>
        <w:t xml:space="preserve"> Tomkinson report</w:t>
      </w:r>
      <w:r w:rsidRPr="00BC136E">
        <w:t xml:space="preserve"> </w:t>
      </w:r>
      <w:r>
        <w:t>highlights</w:t>
      </w:r>
      <w:r w:rsidRPr="00BC136E">
        <w:t xml:space="preserve"> the degree of decentralisation in the English system. Although the statutory framework provides a common structure, the way in which IRPs interpret guidance and the conclusions they reach varies widely. Councils ultimately determine their own schemes, and the result is a system characterised by substantial differences in both the level and structure of allowances. </w:t>
      </w:r>
      <w:r>
        <w:t xml:space="preserve">The system also places councillors in the invidious situation of being seen to increase their own payments. The differences between councillor remuneration packages </w:t>
      </w:r>
      <w:r w:rsidRPr="00BC136E">
        <w:t xml:space="preserve">are evident not only between regions but also within relatively small geographic areas, where neighbouring councils may adopt markedly different approaches. </w:t>
      </w:r>
    </w:p>
    <w:p w14:paraId="16C7F29E" w14:textId="77777777" w:rsidR="007F6CFC" w:rsidRPr="00BC136E" w:rsidRDefault="007F6CFC" w:rsidP="00004998">
      <w:pPr>
        <w:spacing w:line="278" w:lineRule="auto"/>
      </w:pPr>
      <w:r w:rsidRPr="00BC136E">
        <w:t>The analysis of basic allowances illustrates these dynamics. Total spending on basic allowances in 2024/25 is estimated at £154 million, with an average allowance of £9,189 per councillor. This represents a</w:t>
      </w:r>
      <w:r>
        <w:t xml:space="preserve"> cash </w:t>
      </w:r>
      <w:r w:rsidRPr="00BC136E">
        <w:t>increase from around £5,600 in 2006</w:t>
      </w:r>
      <w:r>
        <w:t xml:space="preserve"> (equivalent to £</w:t>
      </w:r>
      <w:r w:rsidRPr="00711AE1">
        <w:t>9,648 at April 2025 prices),</w:t>
      </w:r>
      <w:r w:rsidRPr="00BC136E">
        <w:t xml:space="preserve"> indicating that allowances have not kept pace with price inflation</w:t>
      </w:r>
      <w:r>
        <w:t xml:space="preserve"> over this period</w:t>
      </w:r>
      <w:r w:rsidRPr="00BC136E">
        <w:t>.</w:t>
      </w:r>
    </w:p>
    <w:p w14:paraId="0FB34230" w14:textId="77777777" w:rsidR="007F6CFC" w:rsidRPr="00BC136E" w:rsidRDefault="007F6CFC" w:rsidP="00004998">
      <w:pPr>
        <w:spacing w:line="278" w:lineRule="auto"/>
      </w:pPr>
      <w:r>
        <w:t>The degree of v</w:t>
      </w:r>
      <w:r w:rsidRPr="00BC136E">
        <w:t xml:space="preserve">ariation is also striking. Average basic allowances range from around £7,400 in some regions to over £12,700 in others. When expressed on a per-head basis, the cost of basic allowances </w:t>
      </w:r>
      <w:r>
        <w:t xml:space="preserve">still </w:t>
      </w:r>
      <w:r w:rsidRPr="00BC136E">
        <w:t xml:space="preserve">varies significantly between both regions and types of authority, reflecting differences in scale, governance arrangements, and local policy choices. </w:t>
      </w:r>
    </w:p>
    <w:p w14:paraId="6AFED40C" w14:textId="77777777" w:rsidR="007F6CFC" w:rsidRDefault="007F6CFC" w:rsidP="00004998">
      <w:pPr>
        <w:spacing w:line="278" w:lineRule="auto"/>
        <w:rPr>
          <w:i/>
          <w:iCs/>
        </w:rPr>
      </w:pPr>
    </w:p>
    <w:p w14:paraId="2D945E17" w14:textId="77777777" w:rsidR="007F6CFC" w:rsidRDefault="007F6CFC">
      <w:pPr>
        <w:rPr>
          <w:rFonts w:ascii="Times New Roman" w:eastAsiaTheme="majorEastAsia" w:hAnsi="Times New Roman" w:cstheme="majorBidi"/>
          <w:color w:val="005929" w:themeColor="accent1" w:themeShade="BF"/>
          <w:sz w:val="32"/>
          <w:szCs w:val="32"/>
          <w:lang w:val="en-GB"/>
        </w:rPr>
      </w:pPr>
      <w:r>
        <w:br w:type="page"/>
      </w:r>
    </w:p>
    <w:p w14:paraId="4D19BB6E" w14:textId="18E89477" w:rsidR="007F6CFC" w:rsidRPr="00004998" w:rsidRDefault="007F6CFC" w:rsidP="00A04BDA">
      <w:pPr>
        <w:pStyle w:val="Heading2"/>
      </w:pPr>
      <w:bookmarkStart w:id="4" w:name="_Toc232063644"/>
      <w:r w:rsidRPr="00004998">
        <w:lastRenderedPageBreak/>
        <w:t xml:space="preserve">How </w:t>
      </w:r>
      <w:r>
        <w:t>councillor pay is set</w:t>
      </w:r>
      <w:bookmarkEnd w:id="4"/>
    </w:p>
    <w:p w14:paraId="6F385A87" w14:textId="0D01CB80" w:rsidR="007F6CFC" w:rsidRPr="00BC136E" w:rsidRDefault="007F6CFC" w:rsidP="00004998">
      <w:pPr>
        <w:spacing w:line="278" w:lineRule="auto"/>
      </w:pPr>
      <w:r w:rsidRPr="00BC136E">
        <w:t>T</w:t>
      </w:r>
      <w:r>
        <w:t>omkinson’s</w:t>
      </w:r>
      <w:r w:rsidRPr="00BC136E">
        <w:t xml:space="preserve"> report provides detailed insight into how IRPs approach the task of setting allowances. </w:t>
      </w:r>
      <w:r>
        <w:t>S</w:t>
      </w:r>
      <w:r w:rsidRPr="00BC136E">
        <w:t xml:space="preserve">tatutory guidance sets out a three-part methodology based on estimates of time commitment, a public service discount, and an appropriate rate of remuneration. In practice, however, there is considerable variation in how these elements are applied. Estimates of weekly hours devoted to council business, </w:t>
      </w:r>
      <w:r>
        <w:t>where stated</w:t>
      </w:r>
      <w:r w:rsidRPr="00BC136E">
        <w:t xml:space="preserve">, typically fall between 14 and 26 hours, although </w:t>
      </w:r>
      <w:r>
        <w:t xml:space="preserve">some </w:t>
      </w:r>
      <w:r w:rsidRPr="00BC136E">
        <w:t xml:space="preserve">evidence suggests that actual workloads may be higher. </w:t>
      </w:r>
    </w:p>
    <w:p w14:paraId="7584DF1F" w14:textId="4FC15E9F" w:rsidR="007F6CFC" w:rsidRDefault="007F6CFC" w:rsidP="00004998">
      <w:pPr>
        <w:spacing w:line="278" w:lineRule="auto"/>
      </w:pPr>
      <w:r w:rsidRPr="00BC136E">
        <w:t xml:space="preserve">The application of the public service discount is similarly </w:t>
      </w:r>
      <w:r>
        <w:t xml:space="preserve">shown to be </w:t>
      </w:r>
      <w:r w:rsidRPr="00BC136E">
        <w:t xml:space="preserve">variable. Where specified, this ranges from around 20% to 60%, with higher discounts often applied in more rural authorities and lower ones in more urban settings. The choice of discount is rarely based on clear empirical evidence and often reflects </w:t>
      </w:r>
      <w:r>
        <w:t>historic</w:t>
      </w:r>
      <w:r w:rsidRPr="00BC136E">
        <w:t xml:space="preserve"> </w:t>
      </w:r>
      <w:r>
        <w:t xml:space="preserve">local </w:t>
      </w:r>
      <w:r w:rsidRPr="00BC136E">
        <w:t>practice. Likewise, the rate used to value councillors’ time varies, with many IRPs drawing on local earnings data but others using</w:t>
      </w:r>
      <w:r>
        <w:t xml:space="preserve"> a range of</w:t>
      </w:r>
      <w:r w:rsidRPr="00BC136E">
        <w:t xml:space="preserve"> alternative benchmarks. </w:t>
      </w:r>
    </w:p>
    <w:p w14:paraId="05709669" w14:textId="77777777" w:rsidR="007F6CFC" w:rsidRDefault="007F6CFC" w:rsidP="00004998">
      <w:pPr>
        <w:spacing w:line="278" w:lineRule="auto"/>
      </w:pPr>
    </w:p>
    <w:p w14:paraId="4B46EE38" w14:textId="77777777" w:rsidR="007F6CFC" w:rsidRPr="00004998" w:rsidRDefault="007F6CFC" w:rsidP="00A04BDA">
      <w:pPr>
        <w:pStyle w:val="Heading2"/>
      </w:pPr>
      <w:bookmarkStart w:id="5" w:name="_Toc232063645"/>
      <w:r w:rsidRPr="00004998">
        <w:t>Benchmarking councillor pay</w:t>
      </w:r>
      <w:bookmarkEnd w:id="5"/>
    </w:p>
    <w:p w14:paraId="7B2DBD65" w14:textId="4857D22D" w:rsidR="007F6CFC" w:rsidRPr="00BC136E" w:rsidRDefault="007F6CFC" w:rsidP="00004998">
      <w:pPr>
        <w:spacing w:line="278" w:lineRule="auto"/>
      </w:pPr>
      <w:r w:rsidRPr="00BC136E">
        <w:t xml:space="preserve">Benchmarking emerges as a central feature of IRP practice, with almost all panels comparing their council’s allowances with those of other authorities. However, there is little consistency in how this is done. Some compare headline allowance levels, others consider total costs, and still others use population-based measures or </w:t>
      </w:r>
      <w:r>
        <w:t>‘</w:t>
      </w:r>
      <w:r w:rsidRPr="00BC136E">
        <w:t>near neighbour</w:t>
      </w:r>
      <w:r>
        <w:t>’</w:t>
      </w:r>
      <w:r w:rsidRPr="00BC136E">
        <w:t xml:space="preserve"> comparisons.</w:t>
      </w:r>
      <w:r>
        <w:t xml:space="preserve"> Some also compare similar committees or positions from other authorities, although this may not fully account for differences between councils and the work of, and demands on, the councillor as it pertains to each council.</w:t>
      </w:r>
      <w:r w:rsidRPr="00BC136E">
        <w:t xml:space="preserve"> While benchmarking can provide a useful reference point, it may reinforce existing disparities rather than provide an objective basis for decision-making.</w:t>
      </w:r>
    </w:p>
    <w:p w14:paraId="24C7D0D7" w14:textId="3532F48F" w:rsidR="007F6CFC" w:rsidRPr="00BC136E" w:rsidRDefault="007F6CFC" w:rsidP="00004998">
      <w:pPr>
        <w:spacing w:line="278" w:lineRule="auto"/>
      </w:pPr>
      <w:r w:rsidRPr="00BC136E">
        <w:t>Special Responsibility Allowances (SRAs) account for a significant share of total remuneration. In 2024/25, SRAs are estimated to total</w:t>
      </w:r>
      <w:r>
        <w:t xml:space="preserve"> over</w:t>
      </w:r>
      <w:r w:rsidRPr="00BC136E">
        <w:t xml:space="preserve"> £75 million. These are paid to councillors with additional responsibilities, such as cabinet members, committee chairs, or opposition leaders. On average, around 55% of councillors receive an SRA, although this proportion varies between different types of authority.</w:t>
      </w:r>
      <w:r>
        <w:t xml:space="preserve">  </w:t>
      </w:r>
      <w:r w:rsidRPr="00BC136E">
        <w:t xml:space="preserve">The analysis of SRAs highlights further complexity and variation. Different councils adopt different approaches to setting SRA levels, including multiplier methods (linking SRAs to the basic allowance or the leader’s allowance), banding systems, and more qualitative assessments based on perceived responsibility. </w:t>
      </w:r>
      <w:r>
        <w:t xml:space="preserve"> T</w:t>
      </w:r>
      <w:r w:rsidRPr="00BC136E">
        <w:t>he</w:t>
      </w:r>
      <w:r>
        <w:t>re are particular</w:t>
      </w:r>
      <w:r w:rsidRPr="00BC136E">
        <w:t xml:space="preserve"> challenges associated with so-called </w:t>
      </w:r>
      <w:r>
        <w:t>‘</w:t>
      </w:r>
      <w:r w:rsidRPr="00BC136E">
        <w:t>political</w:t>
      </w:r>
      <w:r>
        <w:t>’</w:t>
      </w:r>
      <w:r w:rsidRPr="00BC136E">
        <w:t xml:space="preserve"> SRAs, </w:t>
      </w:r>
      <w:r>
        <w:t>with significant variations</w:t>
      </w:r>
      <w:r w:rsidRPr="00BC136E">
        <w:t xml:space="preserve"> in terms of eligibility and payment levels.</w:t>
      </w:r>
    </w:p>
    <w:p w14:paraId="20A39968" w14:textId="77777777" w:rsidR="007F6CFC" w:rsidRPr="00004998" w:rsidRDefault="007F6CFC" w:rsidP="00A04BDA">
      <w:pPr>
        <w:pStyle w:val="Heading2"/>
      </w:pPr>
      <w:bookmarkStart w:id="6" w:name="_Toc232063646"/>
      <w:r w:rsidRPr="00004998">
        <w:lastRenderedPageBreak/>
        <w:t>Improving accessibility to carers and parents</w:t>
      </w:r>
      <w:bookmarkEnd w:id="6"/>
    </w:p>
    <w:p w14:paraId="3F40E154" w14:textId="132E78D3" w:rsidR="007F6CFC" w:rsidRPr="00BC136E" w:rsidRDefault="007F6CFC" w:rsidP="00004998">
      <w:pPr>
        <w:spacing w:line="278" w:lineRule="auto"/>
      </w:pPr>
      <w:r>
        <w:t>There are</w:t>
      </w:r>
      <w:r w:rsidRPr="00BC136E">
        <w:t xml:space="preserve"> a number of broader issues within the current system. One is the limited use of additional support mechanisms designed to improve accessibility, such as carers’ allowances or parental leave policies. Despite their potential to reduce barriers to participation, these provisions are often under-utilised or inconsistently applied. </w:t>
      </w:r>
      <w:r>
        <w:t>There is</w:t>
      </w:r>
      <w:r w:rsidRPr="00BC136E">
        <w:t xml:space="preserve"> increasing use of supplementary benefits, such as allowances for home working or IT costs, which reflect changing patterns of councillor activity but add further complexity to the system.</w:t>
      </w:r>
    </w:p>
    <w:p w14:paraId="2A5EBE37" w14:textId="0E5B7BFA" w:rsidR="007F6CFC" w:rsidRDefault="007F6CFC" w:rsidP="007F6CFC">
      <w:pPr>
        <w:spacing w:line="278" w:lineRule="auto"/>
      </w:pPr>
      <w:r>
        <w:t>Overall</w:t>
      </w:r>
      <w:r w:rsidRPr="00BC136E">
        <w:t xml:space="preserve">, </w:t>
      </w:r>
      <w:r>
        <w:t>the Tomkinson report</w:t>
      </w:r>
      <w:r w:rsidRPr="00BC136E">
        <w:t xml:space="preserve"> confirm</w:t>
      </w:r>
      <w:r>
        <w:t>s</w:t>
      </w:r>
      <w:r w:rsidRPr="00BC136E">
        <w:t xml:space="preserve"> that the English system is characterised by high levels of discretion and variation, that allowance levels have not fully kept pace with </w:t>
      </w:r>
      <w:r>
        <w:t xml:space="preserve">either </w:t>
      </w:r>
      <w:r w:rsidRPr="00BC136E">
        <w:t>the demands of the role</w:t>
      </w:r>
      <w:r>
        <w:t xml:space="preserve"> or inflation</w:t>
      </w:r>
      <w:r w:rsidRPr="00BC136E">
        <w:t xml:space="preserve">, and that there are ongoing concerns about accessibility and diversity. At the same time, </w:t>
      </w:r>
      <w:r>
        <w:t>it</w:t>
      </w:r>
      <w:r w:rsidRPr="00BC136E">
        <w:t xml:space="preserve"> highlight</w:t>
      </w:r>
      <w:r>
        <w:t>s</w:t>
      </w:r>
      <w:r w:rsidRPr="00BC136E">
        <w:t xml:space="preserve"> the challenges faced by IRPs in balancing competing considerations, including fairness, affordability, public perception, and the need to maintain the civic ethos of local government.</w:t>
      </w:r>
    </w:p>
    <w:p w14:paraId="06B8CEB7" w14:textId="77777777" w:rsidR="007F6CFC" w:rsidRPr="00D00F9D" w:rsidRDefault="007F6CFC" w:rsidP="00A04BDA">
      <w:pPr>
        <w:pStyle w:val="Heading1"/>
      </w:pPr>
      <w:bookmarkStart w:id="7" w:name="_Toc232063647"/>
      <w:r w:rsidRPr="00D00F9D">
        <w:t>International evidence</w:t>
      </w:r>
      <w:bookmarkEnd w:id="7"/>
    </w:p>
    <w:p w14:paraId="2A26DBE1" w14:textId="190DEB2A" w:rsidR="001650E3" w:rsidRDefault="007F6CFC" w:rsidP="001650E3">
      <w:pPr>
        <w:spacing w:after="0" w:line="240" w:lineRule="auto"/>
        <w:jc w:val="both"/>
        <w:rPr>
          <w:rFonts w:ascii="Verdana" w:hAnsi="Verdana"/>
          <w:sz w:val="22"/>
        </w:rPr>
      </w:pPr>
      <w:r w:rsidRPr="00CB1451">
        <w:t>Looking beyond England, international comparisons show a range of different approaches to councillor remuneration.</w:t>
      </w:r>
      <w:r w:rsidR="00F45665">
        <w:t xml:space="preserve"> </w:t>
      </w:r>
      <w:r w:rsidR="001650E3">
        <w:t xml:space="preserve">Other parts of the UK have more consistent systems.  </w:t>
      </w:r>
      <w:r w:rsidR="001F21DA" w:rsidRPr="001650E3">
        <w:rPr>
          <w:rFonts w:ascii="Verdana" w:hAnsi="Verdana"/>
          <w:sz w:val="22"/>
        </w:rPr>
        <w:t>In Scotland, the Scottish Government determine</w:t>
      </w:r>
      <w:r w:rsidR="001650E3">
        <w:rPr>
          <w:rFonts w:ascii="Verdana" w:hAnsi="Verdana"/>
          <w:sz w:val="22"/>
        </w:rPr>
        <w:t>s</w:t>
      </w:r>
      <w:r w:rsidR="001F21DA" w:rsidRPr="001650E3">
        <w:rPr>
          <w:rFonts w:ascii="Verdana" w:hAnsi="Verdana"/>
          <w:sz w:val="22"/>
        </w:rPr>
        <w:t xml:space="preserve"> the basic pay of councillors and this cannot be varied by individual councils</w:t>
      </w:r>
      <w:r w:rsidR="001F21DA">
        <w:rPr>
          <w:rFonts w:ascii="Verdana" w:hAnsi="Verdana"/>
          <w:sz w:val="22"/>
        </w:rPr>
        <w:t>.</w:t>
      </w:r>
      <w:r w:rsidR="001F21DA" w:rsidRPr="001650E3">
        <w:rPr>
          <w:rFonts w:ascii="Verdana" w:hAnsi="Verdana"/>
          <w:sz w:val="22"/>
        </w:rPr>
        <w:t xml:space="preserve"> The Independent Remuneration Panel for Wales is responsible for determining the level of payments</w:t>
      </w:r>
      <w:r w:rsidR="001F21DA">
        <w:rPr>
          <w:rFonts w:ascii="Verdana" w:hAnsi="Verdana"/>
          <w:sz w:val="22"/>
        </w:rPr>
        <w:t xml:space="preserve">. Both place Councils in ‘bands’ for payment levels. </w:t>
      </w:r>
      <w:r w:rsidR="001F21DA" w:rsidRPr="001650E3">
        <w:rPr>
          <w:rFonts w:ascii="Verdana" w:hAnsi="Verdana"/>
          <w:sz w:val="22"/>
        </w:rPr>
        <w:t xml:space="preserve">In Northern Ireland, the Basic Allowance rates </w:t>
      </w:r>
      <w:r w:rsidR="001F21DA">
        <w:rPr>
          <w:rFonts w:ascii="Verdana" w:hAnsi="Verdana"/>
          <w:sz w:val="22"/>
        </w:rPr>
        <w:t xml:space="preserve">and the maximum level for Special Responsibility Allowances </w:t>
      </w:r>
      <w:r w:rsidR="001F21DA" w:rsidRPr="001650E3">
        <w:rPr>
          <w:rFonts w:ascii="Verdana" w:hAnsi="Verdana"/>
          <w:sz w:val="22"/>
        </w:rPr>
        <w:t>are set by the Northern Ireland Executive</w:t>
      </w:r>
      <w:r w:rsidR="001F21DA">
        <w:rPr>
          <w:rFonts w:ascii="Verdana" w:hAnsi="Verdana"/>
          <w:sz w:val="22"/>
        </w:rPr>
        <w:t>.</w:t>
      </w:r>
      <w:r w:rsidR="001650E3">
        <w:rPr>
          <w:rFonts w:ascii="Verdana" w:hAnsi="Verdana"/>
          <w:sz w:val="22"/>
        </w:rPr>
        <w:t xml:space="preserve">  </w:t>
      </w:r>
    </w:p>
    <w:p w14:paraId="3637AE1B" w14:textId="77777777" w:rsidR="001650E3" w:rsidRDefault="001650E3" w:rsidP="001650E3">
      <w:pPr>
        <w:spacing w:after="0" w:line="240" w:lineRule="auto"/>
        <w:jc w:val="both"/>
        <w:rPr>
          <w:rFonts w:ascii="Verdana" w:hAnsi="Verdana"/>
          <w:sz w:val="22"/>
        </w:rPr>
      </w:pPr>
    </w:p>
    <w:p w14:paraId="7ADEE744" w14:textId="4BF5F7FE" w:rsidR="007F6CFC" w:rsidRPr="00CB1451" w:rsidRDefault="007F6CFC" w:rsidP="001650E3">
      <w:pPr>
        <w:spacing w:after="0" w:line="240" w:lineRule="auto"/>
        <w:jc w:val="both"/>
      </w:pPr>
      <w:r w:rsidRPr="00CB1451">
        <w:t>In systems similar to the UK</w:t>
      </w:r>
      <w:r>
        <w:t xml:space="preserve">, </w:t>
      </w:r>
      <w:r w:rsidRPr="00CB1451">
        <w:t>such as Ireland</w:t>
      </w:r>
      <w:r>
        <w:rPr>
          <w:rStyle w:val="EndnoteReference"/>
        </w:rPr>
        <w:endnoteReference w:id="2"/>
      </w:r>
      <w:r w:rsidRPr="00CB1451">
        <w:t xml:space="preserve"> or Australia</w:t>
      </w:r>
      <w:r>
        <w:rPr>
          <w:rStyle w:val="EndnoteReference"/>
        </w:rPr>
        <w:endnoteReference w:id="3"/>
      </w:r>
      <w:r>
        <w:t xml:space="preserve">, </w:t>
      </w:r>
      <w:r w:rsidRPr="00CB1451">
        <w:t>allowance-based models remain common, with councillors treated primarily as part-time representatives. Elsewhere, particularly in parts of Europe, there has been a shift towards more formalised salary structures, especially for those in executive roles. These approaches tend to reflect a more explicitly professional view of local political office, with clear expectations around time commitment and responsibilities.</w:t>
      </w:r>
    </w:p>
    <w:p w14:paraId="545B2306" w14:textId="77777777" w:rsidR="007F6CFC" w:rsidRPr="00CB1451" w:rsidRDefault="007F6CFC" w:rsidP="00004998">
      <w:pPr>
        <w:spacing w:line="278" w:lineRule="auto"/>
      </w:pPr>
      <w:r w:rsidRPr="00CB1451">
        <w:t>Between these two approaches lie a range of hybrid systems. Many jurisdictions differentiate between ordinary councillors, who receive allowances, and those holding executive or leadership roles, who are paid salaries. This reflects an attempt to recognise differences in responsibility without fully professionalising the entire council. In some cases, remuneration is also guided by national frameworks or independent bodies that set pay levels using objective criteria such as population size, workload, or comparisons with other public offices. The New Zealand</w:t>
      </w:r>
      <w:r>
        <w:rPr>
          <w:rStyle w:val="EndnoteReference"/>
        </w:rPr>
        <w:endnoteReference w:id="4"/>
      </w:r>
      <w:r w:rsidRPr="00CB1451">
        <w:t xml:space="preserve"> system is a commonly cited example, where a central authority determines a total remuneration pool for each council and sets limits on how it can be distributed.</w:t>
      </w:r>
    </w:p>
    <w:p w14:paraId="475B78D1" w14:textId="77777777" w:rsidR="007F6CFC" w:rsidRDefault="007F6CFC" w:rsidP="00004998">
      <w:r w:rsidRPr="00CB1451">
        <w:lastRenderedPageBreak/>
        <w:t xml:space="preserve">While these different models offer useful points of comparison, the evidence base on their relative effectiveness remains limited. There is little robust research linking remuneration structures directly to outcomes such as service performance or policy effectiveness. </w:t>
      </w:r>
    </w:p>
    <w:p w14:paraId="5A4C6AAA" w14:textId="77777777" w:rsidR="007F6CFC" w:rsidRDefault="007F6CFC" w:rsidP="00004998"/>
    <w:p w14:paraId="1B36C963" w14:textId="77777777" w:rsidR="007F6CFC" w:rsidRPr="00004998" w:rsidRDefault="007F6CFC" w:rsidP="00A04BDA">
      <w:pPr>
        <w:pStyle w:val="Heading2"/>
      </w:pPr>
      <w:bookmarkStart w:id="8" w:name="_Toc232063648"/>
      <w:r w:rsidRPr="00004998">
        <w:t>The impact on participation</w:t>
      </w:r>
      <w:bookmarkEnd w:id="8"/>
    </w:p>
    <w:p w14:paraId="1FD89E2E" w14:textId="66B1DC18" w:rsidR="007F6CFC" w:rsidRPr="00427F5D" w:rsidRDefault="007F6CFC" w:rsidP="00004998">
      <w:pPr>
        <w:spacing w:line="278" w:lineRule="auto"/>
      </w:pPr>
      <w:r>
        <w:t>T</w:t>
      </w:r>
      <w:r w:rsidRPr="00CB1451">
        <w:t xml:space="preserve">he strongest evidence concerns the relationship between pay and participation in local democracy. </w:t>
      </w:r>
      <w:r>
        <w:t xml:space="preserve"> </w:t>
      </w:r>
      <w:r w:rsidRPr="00427F5D">
        <w:t xml:space="preserve">Earlier research by Inlogov and BMG suggested that </w:t>
      </w:r>
      <w:r w:rsidRPr="001C4558">
        <w:t>those involved in community activity and work</w:t>
      </w:r>
      <w:r>
        <w:t xml:space="preserve"> </w:t>
      </w:r>
      <w:r w:rsidRPr="00427F5D">
        <w:t>felt the rewards</w:t>
      </w:r>
      <w:r w:rsidRPr="004E5245">
        <w:t xml:space="preserve"> </w:t>
      </w:r>
      <w:r>
        <w:t xml:space="preserve">of </w:t>
      </w:r>
      <w:r w:rsidRPr="00427F5D">
        <w:t>being a councillor</w:t>
      </w:r>
      <w:r>
        <w:t xml:space="preserve">, </w:t>
      </w:r>
      <w:r w:rsidRPr="00427F5D">
        <w:t>both financial and in terms of personal fulfilment</w:t>
      </w:r>
      <w:r>
        <w:t xml:space="preserve">, </w:t>
      </w:r>
      <w:r w:rsidRPr="00427F5D">
        <w:t>were not sufficient to offset the demands and challenges</w:t>
      </w:r>
      <w:r>
        <w:rPr>
          <w:rStyle w:val="EndnoteReference"/>
        </w:rPr>
        <w:endnoteReference w:id="5"/>
      </w:r>
      <w:r w:rsidRPr="00427F5D">
        <w:t xml:space="preserve"> . There was a shared view among councillors, officers and </w:t>
      </w:r>
      <w:r w:rsidRPr="001C4558">
        <w:t xml:space="preserve">those involved in community activity </w:t>
      </w:r>
      <w:r>
        <w:t>t</w:t>
      </w:r>
      <w:r w:rsidRPr="00427F5D">
        <w:t>hat higher allowances could help attract a broader and more diverse range of candidates. At the same time, some councillors expressed concern that the current approach to remuneration not only limits the inflow of new talent, but may also lead capable younger councillors to step down in favour of returning to better-paid employment.</w:t>
      </w:r>
      <w:r>
        <w:t xml:space="preserve">  </w:t>
      </w:r>
    </w:p>
    <w:p w14:paraId="5438FB90" w14:textId="26DD4478" w:rsidR="007F6CFC" w:rsidRDefault="007F6CFC" w:rsidP="00004998">
      <w:r w:rsidRPr="00CB1451">
        <w:t>This issue is most clearly seen in the literature on diversity and representation. Research consistently identifies financial barriers as one of the factors contributing to this pattern. Individuals without independent income, or with significant caring responsibilities, may find it difficult to take on a role that is poorly remunerated or unpredictable in terms of workload. Studies highlight how institutional arrangements</w:t>
      </w:r>
      <w:r>
        <w:rPr>
          <w:rFonts w:ascii="Aptos" w:hAnsi="Aptos" w:cs="Aptos"/>
        </w:rPr>
        <w:t xml:space="preserve">, </w:t>
      </w:r>
      <w:r w:rsidRPr="00CB1451">
        <w:t>including remuneration</w:t>
      </w:r>
      <w:r>
        <w:rPr>
          <w:rFonts w:ascii="Aptos" w:hAnsi="Aptos" w:cs="Aptos"/>
        </w:rPr>
        <w:t xml:space="preserve">, </w:t>
      </w:r>
      <w:r w:rsidRPr="00CB1451">
        <w:t>can either enable or constrain participation by different social groups</w:t>
      </w:r>
      <w:r>
        <w:rPr>
          <w:rStyle w:val="EndnoteReference"/>
        </w:rPr>
        <w:endnoteReference w:id="6"/>
      </w:r>
      <w:r w:rsidRPr="00CB1451">
        <w:t>.</w:t>
      </w:r>
    </w:p>
    <w:p w14:paraId="2917ADA3" w14:textId="4427A15F" w:rsidR="007F6CFC" w:rsidRPr="00467AB3" w:rsidRDefault="007F6CFC" w:rsidP="00004998">
      <w:pPr>
        <w:spacing w:line="278" w:lineRule="auto"/>
      </w:pPr>
      <w:r>
        <w:t>A recent study in Italy</w:t>
      </w:r>
      <w:r w:rsidRPr="00467AB3">
        <w:t xml:space="preserve"> </w:t>
      </w:r>
      <w:r>
        <w:t>suggests</w:t>
      </w:r>
      <w:r w:rsidRPr="00467AB3">
        <w:t xml:space="preserve"> that higher levels of remuneration tend</w:t>
      </w:r>
      <w:r>
        <w:t>ed</w:t>
      </w:r>
      <w:r w:rsidRPr="00467AB3">
        <w:t xml:space="preserve"> to attract more candidates, particularly those entering politics for the first time</w:t>
      </w:r>
      <w:r>
        <w:rPr>
          <w:rStyle w:val="EndnoteReference"/>
        </w:rPr>
        <w:endnoteReference w:id="7"/>
      </w:r>
      <w:r>
        <w:t xml:space="preserve"> </w:t>
      </w:r>
      <w:r w:rsidRPr="00467AB3">
        <w:t xml:space="preserve">. In less affluent areas, or where barriers to entry </w:t>
      </w:r>
      <w:r>
        <w:t>we</w:t>
      </w:r>
      <w:r w:rsidRPr="00467AB3">
        <w:t xml:space="preserve">re lower, increases in pay </w:t>
      </w:r>
      <w:r>
        <w:t>were</w:t>
      </w:r>
      <w:r w:rsidRPr="00467AB3">
        <w:t xml:space="preserve"> associated with a rise in the number of women standing for mayoral positions, alongside an improved likelihood of their election.</w:t>
      </w:r>
      <w:r>
        <w:t xml:space="preserve">  However, an earlier US study found that the </w:t>
      </w:r>
      <w:r w:rsidRPr="004712D6">
        <w:t>representation of</w:t>
      </w:r>
      <w:r>
        <w:t xml:space="preserve"> </w:t>
      </w:r>
      <w:r w:rsidRPr="004712D6">
        <w:t xml:space="preserve">the working class </w:t>
      </w:r>
      <w:r>
        <w:t>wa</w:t>
      </w:r>
      <w:r w:rsidRPr="004712D6">
        <w:t>s the same or worse in states that</w:t>
      </w:r>
      <w:r>
        <w:t xml:space="preserve"> </w:t>
      </w:r>
      <w:r w:rsidRPr="004712D6">
        <w:t>pa</w:t>
      </w:r>
      <w:r>
        <w:t>id</w:t>
      </w:r>
      <w:r w:rsidRPr="004712D6">
        <w:t xml:space="preserve"> legislators higher salaries</w:t>
      </w:r>
      <w:r>
        <w:t>, perhaps because of increased competition for these roles</w:t>
      </w:r>
      <w:r>
        <w:rPr>
          <w:rStyle w:val="EndnoteReference"/>
        </w:rPr>
        <w:endnoteReference w:id="8"/>
      </w:r>
      <w:r>
        <w:t xml:space="preserve"> </w:t>
      </w:r>
      <w:r w:rsidRPr="004712D6">
        <w:t>.</w:t>
      </w:r>
    </w:p>
    <w:p w14:paraId="0C6D1664" w14:textId="77777777" w:rsidR="007F6CFC" w:rsidRPr="00CB1451" w:rsidRDefault="007F6CFC" w:rsidP="00004998">
      <w:pPr>
        <w:spacing w:line="278" w:lineRule="auto"/>
      </w:pPr>
      <w:r>
        <w:t>There is</w:t>
      </w:r>
      <w:r w:rsidRPr="00CB1451">
        <w:t xml:space="preserve"> increasing attention to the role of remuneration in supporting more inclusive local democracy. Measures such as childcare allowances, parental leave, and more predictable pay structures are often discussed alongside basic allowance levels. </w:t>
      </w:r>
      <w:r>
        <w:t xml:space="preserve"> </w:t>
      </w:r>
    </w:p>
    <w:p w14:paraId="5000BB71" w14:textId="77777777" w:rsidR="007F6CFC" w:rsidRDefault="007F6CFC" w:rsidP="00004998"/>
    <w:p w14:paraId="2A87135C" w14:textId="77777777" w:rsidR="00287252" w:rsidRDefault="00287252">
      <w:pPr>
        <w:rPr>
          <w:rFonts w:ascii="Times New Roman" w:eastAsiaTheme="majorEastAsia" w:hAnsi="Times New Roman" w:cstheme="majorBidi"/>
          <w:color w:val="005929" w:themeColor="accent1" w:themeShade="BF"/>
          <w:sz w:val="40"/>
          <w:szCs w:val="40"/>
          <w:lang w:val="en-GB"/>
        </w:rPr>
      </w:pPr>
      <w:r>
        <w:br w:type="page"/>
      </w:r>
    </w:p>
    <w:p w14:paraId="4723B1F8" w14:textId="1E5B2AD6" w:rsidR="007F6CFC" w:rsidRPr="00FD2F8D" w:rsidRDefault="007F6CFC" w:rsidP="00A04BDA">
      <w:pPr>
        <w:pStyle w:val="Heading1"/>
      </w:pPr>
      <w:bookmarkStart w:id="9" w:name="_Toc232063649"/>
      <w:r>
        <w:lastRenderedPageBreak/>
        <w:t>Should the English model change?</w:t>
      </w:r>
      <w:bookmarkEnd w:id="9"/>
    </w:p>
    <w:p w14:paraId="3F6F61B8" w14:textId="782A8B75" w:rsidR="007F6CFC" w:rsidRPr="00CB1451" w:rsidRDefault="007F6CFC" w:rsidP="00004998">
      <w:pPr>
        <w:spacing w:line="278" w:lineRule="auto"/>
      </w:pPr>
      <w:r>
        <w:t>T</w:t>
      </w:r>
      <w:r w:rsidRPr="00CB1451">
        <w:t xml:space="preserve">here is a growing body of evidence suggesting that the traditional </w:t>
      </w:r>
      <w:r>
        <w:t>‘</w:t>
      </w:r>
      <w:r w:rsidRPr="00CB1451">
        <w:t>part-time councillor</w:t>
      </w:r>
      <w:r>
        <w:t>’</w:t>
      </w:r>
      <w:r w:rsidRPr="00CB1451">
        <w:t xml:space="preserve"> model is increasingly out of step with reality. Research over several decades has documented a steady expansion in councillors’ responsibilities, driven by changes in governance arrangements, </w:t>
      </w:r>
      <w:r>
        <w:t xml:space="preserve">larger councils with fewer councillors, </w:t>
      </w:r>
      <w:r w:rsidRPr="00CB1451">
        <w:t>stronger scrutiny requirements, and increased expectations from constituents. Studies</w:t>
      </w:r>
      <w:r>
        <w:rPr>
          <w:rStyle w:val="EndnoteReference"/>
        </w:rPr>
        <w:endnoteReference w:id="9"/>
      </w:r>
      <w:r w:rsidRPr="007F6CFC">
        <w:rPr>
          <w:vertAlign w:val="superscript"/>
        </w:rPr>
        <w:t>,</w:t>
      </w:r>
      <w:r>
        <w:rPr>
          <w:rStyle w:val="EndnoteReference"/>
        </w:rPr>
        <w:endnoteReference w:id="10"/>
      </w:r>
      <w:r w:rsidRPr="00CB1451">
        <w:t xml:space="preserve"> point to the growing complexity of the role, while more recent evidence shows that many councillors now spend time equivalent to full-time employment on council duties. This shift has implications for how remuneration is understood: allowances that were designed to compensate for part-time involvement may no longer reflect the </w:t>
      </w:r>
      <w:r>
        <w:t>realities</w:t>
      </w:r>
      <w:r w:rsidRPr="00CB1451">
        <w:t xml:space="preserve"> of the role.</w:t>
      </w:r>
    </w:p>
    <w:p w14:paraId="115E352F" w14:textId="73ED990D" w:rsidR="007F6CFC" w:rsidRDefault="007F6CFC" w:rsidP="00004998">
      <w:r w:rsidRPr="00CB1451">
        <w:t>The consequences of this mismatch are highlighted in</w:t>
      </w:r>
      <w:r>
        <w:t xml:space="preserve"> </w:t>
      </w:r>
      <w:r w:rsidRPr="00CB1451">
        <w:t xml:space="preserve">survey evidence, which shows that many councillors experience some degree of financial disadvantage as a result of holding office. This is particularly the case for those who need to reduce working hours or forego other income in order to meet the demands of the role. </w:t>
      </w:r>
    </w:p>
    <w:p w14:paraId="1E57CAD5" w14:textId="185653B2" w:rsidR="007F6CFC" w:rsidRDefault="007F6CFC" w:rsidP="00910A9C">
      <w:r>
        <w:t xml:space="preserve">A number of </w:t>
      </w:r>
      <w:r w:rsidR="00C25682">
        <w:t>factors,</w:t>
      </w:r>
      <w:r>
        <w:t xml:space="preserve"> therefore, raise serious questions about the adequacy of the current remuneration system, among which are issues such as: </w:t>
      </w:r>
    </w:p>
    <w:p w14:paraId="290D092C" w14:textId="77777777" w:rsidR="007F6CFC" w:rsidRDefault="007F6CFC" w:rsidP="001C4558">
      <w:pPr>
        <w:pStyle w:val="ListParagraph"/>
        <w:numPr>
          <w:ilvl w:val="0"/>
          <w:numId w:val="39"/>
        </w:numPr>
      </w:pPr>
      <w:r>
        <w:t xml:space="preserve">the reduction in the number of councillors over time and the further reductions to occur as a result of the government’s reorganisation proposals; </w:t>
      </w:r>
    </w:p>
    <w:p w14:paraId="5E17AA43" w14:textId="77777777" w:rsidR="007F6CFC" w:rsidRDefault="007F6CFC" w:rsidP="001C4558">
      <w:pPr>
        <w:pStyle w:val="ListParagraph"/>
        <w:numPr>
          <w:ilvl w:val="0"/>
          <w:numId w:val="39"/>
        </w:numPr>
      </w:pPr>
      <w:r>
        <w:t xml:space="preserve">the increasing volume and complexity of work councillors are experiencing; </w:t>
      </w:r>
    </w:p>
    <w:p w14:paraId="7425B4DF" w14:textId="77777777" w:rsidR="007F6CFC" w:rsidRDefault="007F6CFC" w:rsidP="001C4558">
      <w:pPr>
        <w:pStyle w:val="ListParagraph"/>
        <w:numPr>
          <w:ilvl w:val="0"/>
          <w:numId w:val="39"/>
        </w:numPr>
      </w:pPr>
      <w:r>
        <w:t xml:space="preserve">the abolition of the committee system and a move to all council decision-making being based on an executive tier of councillor; </w:t>
      </w:r>
    </w:p>
    <w:p w14:paraId="4FE78073" w14:textId="77777777" w:rsidR="007F6CFC" w:rsidRDefault="007F6CFC" w:rsidP="001C4558">
      <w:pPr>
        <w:pStyle w:val="ListParagraph"/>
        <w:numPr>
          <w:ilvl w:val="0"/>
          <w:numId w:val="39"/>
        </w:numPr>
      </w:pPr>
      <w:r>
        <w:t xml:space="preserve">the current and on-going financial constraints placed on local government; </w:t>
      </w:r>
    </w:p>
    <w:p w14:paraId="12905EC8" w14:textId="5AAF5054" w:rsidR="007F6CFC" w:rsidRDefault="007F6CFC" w:rsidP="001C4558">
      <w:pPr>
        <w:pStyle w:val="ListParagraph"/>
        <w:numPr>
          <w:ilvl w:val="0"/>
          <w:numId w:val="39"/>
        </w:numPr>
      </w:pPr>
      <w:r>
        <w:t xml:space="preserve">more complex community and case work demands; </w:t>
      </w:r>
    </w:p>
    <w:p w14:paraId="4790CED6" w14:textId="77777777" w:rsidR="007F6CFC" w:rsidRDefault="007F6CFC" w:rsidP="001C4558">
      <w:pPr>
        <w:pStyle w:val="ListParagraph"/>
        <w:numPr>
          <w:ilvl w:val="0"/>
          <w:numId w:val="39"/>
        </w:numPr>
      </w:pPr>
      <w:r>
        <w:t>the increasing demands for councillors to interact with organisations beyond the council.</w:t>
      </w:r>
    </w:p>
    <w:p w14:paraId="5DE93309" w14:textId="6F56FFE0" w:rsidR="00004998" w:rsidRPr="00BC136E" w:rsidRDefault="007F6CFC" w:rsidP="00004998">
      <w:pPr>
        <w:spacing w:line="278" w:lineRule="auto"/>
      </w:pPr>
      <w:r>
        <w:t xml:space="preserve">The current system raises significant </w:t>
      </w:r>
      <w:r w:rsidRPr="00BC136E">
        <w:t xml:space="preserve">concerns about whether current levels of remuneration are sufficient to support a diverse and representative cohort of councillors. </w:t>
      </w:r>
      <w:r w:rsidRPr="00CB1451">
        <w:t xml:space="preserve">Local government in England, as in many countries, remains </w:t>
      </w:r>
      <w:r>
        <w:t xml:space="preserve">demographically </w:t>
      </w:r>
      <w:r w:rsidRPr="00CB1451">
        <w:t>unrepresentative of the populations it serves</w:t>
      </w:r>
      <w:r>
        <w:t xml:space="preserve"> while remaining (within the limitations of </w:t>
      </w:r>
      <w:r w:rsidR="00C25682">
        <w:t>the</w:t>
      </w:r>
      <w:r>
        <w:t xml:space="preserve"> First Past The Post voting system) representative of the political opinions of voters as expressed through the electoral system and party support.</w:t>
      </w:r>
      <w:r w:rsidRPr="00CB1451">
        <w:t xml:space="preserve"> </w:t>
      </w:r>
      <w:r>
        <w:t>In England, t</w:t>
      </w:r>
      <w:r w:rsidRPr="00467AB3">
        <w:t xml:space="preserve">he proportion </w:t>
      </w:r>
      <w:r>
        <w:t>of councillors i</w:t>
      </w:r>
      <w:r w:rsidRPr="00467AB3">
        <w:t xml:space="preserve">n full-time employment </w:t>
      </w:r>
      <w:r>
        <w:t>fell</w:t>
      </w:r>
      <w:r w:rsidRPr="00467AB3">
        <w:t xml:space="preserve"> from 2</w:t>
      </w:r>
      <w:r>
        <w:t>5</w:t>
      </w:r>
      <w:r w:rsidRPr="00467AB3">
        <w:t xml:space="preserve"> per cent in 2004 to 20 per cent</w:t>
      </w:r>
      <w:r>
        <w:t xml:space="preserve"> in 2022, with a small increase in the last four years of the period</w:t>
      </w:r>
      <w:r>
        <w:rPr>
          <w:rStyle w:val="EndnoteReference"/>
        </w:rPr>
        <w:endnoteReference w:id="11"/>
      </w:r>
      <w:r>
        <w:t>.</w:t>
      </w:r>
      <w:r w:rsidR="001C16B7">
        <w:t xml:space="preserve">  </w:t>
      </w:r>
      <w:r w:rsidR="001C16B7" w:rsidRPr="00CB1451">
        <w:t xml:space="preserve">Councillors are disproportionately older, more likely to be male, and more likely to have professional or </w:t>
      </w:r>
      <w:r w:rsidR="001C16B7" w:rsidRPr="00CB1451">
        <w:lastRenderedPageBreak/>
        <w:t xml:space="preserve">managerial backgrounds. </w:t>
      </w:r>
      <w:r w:rsidR="00004998" w:rsidRPr="00BC136E">
        <w:t>Survey evidence suggests that a majority of councillors do not feel adequately compensated and that many believe current allowance levels deter potential candidates. A high proportion also indicate that more generous remuneration would make it easier for people from a wider range of backgrounds to stand for electio</w:t>
      </w:r>
      <w:r w:rsidR="00004998">
        <w:t>n</w:t>
      </w:r>
      <w:r w:rsidR="00004998" w:rsidRPr="00BC136E">
        <w:t xml:space="preserve">. </w:t>
      </w:r>
    </w:p>
    <w:p w14:paraId="5657B5B0" w14:textId="7F5D907C" w:rsidR="00004998" w:rsidRPr="00CB1451" w:rsidRDefault="00004998" w:rsidP="00004998">
      <w:pPr>
        <w:spacing w:line="278" w:lineRule="auto"/>
      </w:pPr>
      <w:r>
        <w:t>C</w:t>
      </w:r>
      <w:r w:rsidRPr="00CB1451">
        <w:t xml:space="preserve">hanges to councillor pay raise wider questions about the nature of local political office. Increasing remuneration may make the role more accessible and support more effective performance, but it can also shift expectations about what councillors are and how they should operate. There is a long-standing concern that higher levels of pay may contribute to the </w:t>
      </w:r>
      <w:proofErr w:type="spellStart"/>
      <w:r w:rsidRPr="00CB1451">
        <w:t>professionalisation</w:t>
      </w:r>
      <w:proofErr w:type="spellEnd"/>
      <w:r w:rsidRPr="00CB1451">
        <w:t xml:space="preserve"> of local politics, potentially distancing councillors from the communities they represent.  </w:t>
      </w:r>
      <w:r w:rsidR="007F6CFC">
        <w:t xml:space="preserve">Copus </w:t>
      </w:r>
      <w:r w:rsidRPr="00CB1451">
        <w:t>argue</w:t>
      </w:r>
      <w:r w:rsidR="007F6CFC">
        <w:t>d</w:t>
      </w:r>
      <w:r w:rsidRPr="00CB1451">
        <w:t xml:space="preserve"> that the identity of councillors as citizen representatives is an important feature of the UK system, and that altering this balance could have unintended consequences</w:t>
      </w:r>
      <w:r w:rsidR="007F6CFC">
        <w:rPr>
          <w:rStyle w:val="EndnoteReference"/>
        </w:rPr>
        <w:endnoteReference w:id="12"/>
      </w:r>
      <w:r w:rsidRPr="00CB1451">
        <w:t>.</w:t>
      </w:r>
    </w:p>
    <w:p w14:paraId="7DE1FD78" w14:textId="1D4BAE8E" w:rsidR="00004998" w:rsidRPr="00CB1451" w:rsidRDefault="00004998" w:rsidP="00004998">
      <w:pPr>
        <w:spacing w:line="278" w:lineRule="auto"/>
      </w:pPr>
      <w:r w:rsidRPr="00CB1451">
        <w:t xml:space="preserve">Public perception is also an important consideration. Decisions about councillor pay are often sensitive, particularly at a time when local authorities are under financial pressure. Even where there is a strong evidence base for increases in allowances, councils may be reluctant to act for fear of public criticism. The use of </w:t>
      </w:r>
      <w:r w:rsidR="001F21DA">
        <w:t>IRPs</w:t>
      </w:r>
      <w:r w:rsidRPr="00CB1451">
        <w:t xml:space="preserve"> is designed to mitigate this by providing an external and ostensibly neutral assessment, but councils remain ultimately responsible for decisions. This creates an ongoing tension between evidence-based policy and political acceptability.</w:t>
      </w:r>
    </w:p>
    <w:p w14:paraId="61C5F14F" w14:textId="77777777" w:rsidR="00004998" w:rsidRPr="00CB1451" w:rsidRDefault="00004998" w:rsidP="00004998">
      <w:pPr>
        <w:spacing w:line="278" w:lineRule="auto"/>
      </w:pPr>
      <w:r w:rsidRPr="00CB1451">
        <w:t>The English system allows councils to tailor remuneration to their own circumstances, but this comes at the cost of significant variation. In practice, councillors in different parts of the country may receive very different levels of compensation for broadly similar roles. Some commentators argue that this undermines fairness and makes the role harder to understand publicly, while others see it as a necessary feature of a locally driven system.</w:t>
      </w:r>
    </w:p>
    <w:p w14:paraId="01C74256" w14:textId="77777777" w:rsidR="00004998" w:rsidRPr="00CB1451" w:rsidRDefault="00004998" w:rsidP="00004998">
      <w:pPr>
        <w:spacing w:line="278" w:lineRule="auto"/>
      </w:pPr>
      <w:r w:rsidRPr="00CB1451">
        <w:t>Finally, there is the question of how remuneration systems should respond to continuing changes in local government. As responsibilities evolve, particularly in areas such as social care, housing, and economic development, councillors are expected to operate in increasingly complex policy environments. This raises questions about whether current models</w:t>
      </w:r>
      <w:r>
        <w:t xml:space="preserve">, </w:t>
      </w:r>
      <w:r w:rsidRPr="00CB1451">
        <w:t>particularly those based on a part-time conception of the role</w:t>
      </w:r>
      <w:r>
        <w:t xml:space="preserve">, </w:t>
      </w:r>
      <w:r w:rsidRPr="00CB1451">
        <w:t>remain sustainable, and whether more formalised or structured approaches to remuneration may be required in future.</w:t>
      </w:r>
    </w:p>
    <w:p w14:paraId="0882D612" w14:textId="77777777" w:rsidR="00287252" w:rsidRDefault="00287252">
      <w:pPr>
        <w:rPr>
          <w:rFonts w:ascii="Times New Roman" w:eastAsiaTheme="majorEastAsia" w:hAnsi="Times New Roman" w:cstheme="majorBidi"/>
          <w:color w:val="005929" w:themeColor="accent1" w:themeShade="BF"/>
          <w:sz w:val="40"/>
          <w:szCs w:val="40"/>
          <w:lang w:val="en-GB"/>
        </w:rPr>
      </w:pPr>
      <w:r>
        <w:br w:type="page"/>
      </w:r>
    </w:p>
    <w:p w14:paraId="5448A087" w14:textId="1266B037" w:rsidR="00004998" w:rsidRPr="00004998" w:rsidRDefault="00004998" w:rsidP="00A04BDA">
      <w:pPr>
        <w:pStyle w:val="Heading1"/>
      </w:pPr>
      <w:bookmarkStart w:id="10" w:name="_Toc232063650"/>
      <w:r w:rsidRPr="00004998">
        <w:lastRenderedPageBreak/>
        <w:t>Conclusions</w:t>
      </w:r>
      <w:bookmarkEnd w:id="10"/>
    </w:p>
    <w:p w14:paraId="0143393C" w14:textId="0AF65827" w:rsidR="00004998" w:rsidRDefault="00004998" w:rsidP="00004998">
      <w:pPr>
        <w:spacing w:line="278" w:lineRule="auto"/>
      </w:pPr>
      <w:r>
        <w:t>C</w:t>
      </w:r>
      <w:r w:rsidRPr="00CB1451">
        <w:t>ouncillor remuneration is not simply a</w:t>
      </w:r>
      <w:r>
        <w:t xml:space="preserve"> technical </w:t>
      </w:r>
      <w:r w:rsidRPr="00CB1451">
        <w:t xml:space="preserve">issue but a key component of democratic governance. Different models reflect different assumptions about the nature of political office and the balance between civic duty and professional responsibility. While there is no clear consensus on the </w:t>
      </w:r>
      <w:r w:rsidR="00A04BDA">
        <w:t>‘</w:t>
      </w:r>
      <w:r w:rsidRPr="00CB1451">
        <w:t>best</w:t>
      </w:r>
      <w:r w:rsidR="00A04BDA">
        <w:t>’</w:t>
      </w:r>
      <w:r w:rsidRPr="00CB1451">
        <w:t xml:space="preserve"> approach, there is strong evidence that remuneration affects who participates in local democracy and how accessible local political office is. The challenge for policymakers is to design systems that support inclusive and effective governance while maintaining public confidence and preserving the civic character of local representation.</w:t>
      </w:r>
    </w:p>
    <w:p w14:paraId="0AF76347" w14:textId="77777777" w:rsidR="00004998" w:rsidRDefault="00004998" w:rsidP="00004998">
      <w:pPr>
        <w:spacing w:line="278" w:lineRule="auto"/>
      </w:pPr>
      <w:r>
        <w:t>Our key recommendations are:</w:t>
      </w:r>
    </w:p>
    <w:p w14:paraId="4FA86246" w14:textId="77777777" w:rsidR="00004998" w:rsidRPr="001C16B7" w:rsidRDefault="00004998" w:rsidP="001C16B7">
      <w:pPr>
        <w:pStyle w:val="ListParagraph"/>
        <w:numPr>
          <w:ilvl w:val="0"/>
          <w:numId w:val="24"/>
        </w:numPr>
        <w:rPr>
          <w:b/>
          <w:bCs/>
        </w:rPr>
      </w:pPr>
      <w:r w:rsidRPr="001C16B7">
        <w:rPr>
          <w:b/>
          <w:bCs/>
        </w:rPr>
        <w:t xml:space="preserve">Set remuneration at levels that support broader participation:  </w:t>
      </w:r>
      <w:r w:rsidRPr="00004998">
        <w:t>Allowance levels and structures should be reviewed to ensure they are sufficient to make the role financially accessible to a wide range of candidates, including those in employment, younger people, and those without independent means, while maintaining public confidence and affordability.</w:t>
      </w:r>
    </w:p>
    <w:p w14:paraId="09CF07B7" w14:textId="1522FEFD" w:rsidR="00004998" w:rsidRPr="00004998" w:rsidRDefault="00004998" w:rsidP="001C16B7">
      <w:pPr>
        <w:pStyle w:val="ListParagraph"/>
        <w:numPr>
          <w:ilvl w:val="0"/>
          <w:numId w:val="24"/>
        </w:numPr>
      </w:pPr>
      <w:r w:rsidRPr="001C16B7">
        <w:rPr>
          <w:b/>
          <w:bCs/>
        </w:rPr>
        <w:t xml:space="preserve">Strengthen national guidance </w:t>
      </w:r>
      <w:r w:rsidR="00287252">
        <w:rPr>
          <w:b/>
          <w:bCs/>
        </w:rPr>
        <w:t xml:space="preserve">and the available evidence base </w:t>
      </w:r>
      <w:r w:rsidRPr="001C16B7">
        <w:rPr>
          <w:b/>
          <w:bCs/>
        </w:rPr>
        <w:t xml:space="preserve">while retaining local flexibility:  </w:t>
      </w:r>
      <w:r w:rsidRPr="00004998">
        <w:t xml:space="preserve">Central government should consider </w:t>
      </w:r>
      <w:r w:rsidR="00287252">
        <w:t xml:space="preserve">clearer guidance and enhanced </w:t>
      </w:r>
      <w:r w:rsidRPr="00004998">
        <w:t xml:space="preserve">benchmarking </w:t>
      </w:r>
      <w:r w:rsidR="00287252">
        <w:t>data and tools</w:t>
      </w:r>
      <w:r w:rsidR="001C16B7">
        <w:t xml:space="preserve">, </w:t>
      </w:r>
      <w:r w:rsidRPr="00004998">
        <w:t>for example on workload assumptions</w:t>
      </w:r>
      <w:r w:rsidR="00287252">
        <w:t xml:space="preserve"> and </w:t>
      </w:r>
      <w:r w:rsidRPr="00004998">
        <w:t>comparators</w:t>
      </w:r>
      <w:r w:rsidR="001C16B7">
        <w:t xml:space="preserve">, </w:t>
      </w:r>
      <w:r w:rsidRPr="00004998">
        <w:t>to support greater consistency and transparency, while still allowing councils to reflect local circumstances.</w:t>
      </w:r>
    </w:p>
    <w:p w14:paraId="66679F0A" w14:textId="77777777" w:rsidR="00004998" w:rsidRPr="001C16B7" w:rsidRDefault="00004998" w:rsidP="001C16B7">
      <w:pPr>
        <w:pStyle w:val="ListParagraph"/>
        <w:numPr>
          <w:ilvl w:val="0"/>
          <w:numId w:val="24"/>
        </w:numPr>
        <w:rPr>
          <w:b/>
          <w:bCs/>
        </w:rPr>
      </w:pPr>
      <w:r w:rsidRPr="001C16B7">
        <w:rPr>
          <w:b/>
          <w:bCs/>
        </w:rPr>
        <w:t xml:space="preserve">Expand and normalise support measures that reduce barriers to participation:  </w:t>
      </w:r>
      <w:r w:rsidRPr="00004998">
        <w:t>Local authorities should strengthen and actively promote measures such as carers’ allowances, parental leave, and expense support, ensuring they are practical, accessible, and widely used, so that structural barriers to participation are effectively reduced.</w:t>
      </w:r>
    </w:p>
    <w:p w14:paraId="22596868" w14:textId="177A018D" w:rsidR="003B3C01" w:rsidRPr="00172790" w:rsidRDefault="003B3C01" w:rsidP="003B3C01">
      <w:pPr>
        <w:pStyle w:val="ListParagraph"/>
        <w:numPr>
          <w:ilvl w:val="0"/>
          <w:numId w:val="24"/>
        </w:numPr>
        <w:rPr>
          <w:b/>
          <w:bCs/>
        </w:rPr>
      </w:pPr>
      <w:r>
        <w:rPr>
          <w:b/>
          <w:bCs/>
        </w:rPr>
        <w:t xml:space="preserve">The public service discount should be </w:t>
      </w:r>
      <w:r w:rsidR="00C42F42">
        <w:rPr>
          <w:b/>
          <w:bCs/>
        </w:rPr>
        <w:t>reconsidered</w:t>
      </w:r>
      <w:r>
        <w:rPr>
          <w:b/>
          <w:bCs/>
        </w:rPr>
        <w:t xml:space="preserve">: </w:t>
      </w:r>
      <w:r w:rsidR="00EA2559">
        <w:rPr>
          <w:bCs/>
        </w:rPr>
        <w:t xml:space="preserve">the </w:t>
      </w:r>
      <w:r w:rsidR="00C42F42">
        <w:rPr>
          <w:bCs/>
        </w:rPr>
        <w:t>d</w:t>
      </w:r>
      <w:r w:rsidR="00EA2559">
        <w:rPr>
          <w:bCs/>
        </w:rPr>
        <w:t xml:space="preserve">iscount </w:t>
      </w:r>
      <w:r w:rsidR="00C42F42">
        <w:rPr>
          <w:bCs/>
        </w:rPr>
        <w:t xml:space="preserve">fails to reflect expectations on diversity and </w:t>
      </w:r>
      <w:r w:rsidR="00C25682">
        <w:rPr>
          <w:bCs/>
        </w:rPr>
        <w:t>inclusion and</w:t>
      </w:r>
      <w:r w:rsidR="00C42F42">
        <w:rPr>
          <w:bCs/>
        </w:rPr>
        <w:t xml:space="preserve"> does not reflect </w:t>
      </w:r>
      <w:r w:rsidR="00EA2559">
        <w:rPr>
          <w:bCs/>
        </w:rPr>
        <w:t xml:space="preserve">the </w:t>
      </w:r>
      <w:r w:rsidR="00C42F42">
        <w:rPr>
          <w:bCs/>
        </w:rPr>
        <w:t xml:space="preserve">current </w:t>
      </w:r>
      <w:r w:rsidR="00EA2559">
        <w:rPr>
          <w:bCs/>
        </w:rPr>
        <w:t>roles and work of councillor</w:t>
      </w:r>
      <w:r w:rsidR="00C42F42">
        <w:rPr>
          <w:bCs/>
        </w:rPr>
        <w:t>s</w:t>
      </w:r>
      <w:r w:rsidR="00EA2559">
        <w:rPr>
          <w:bCs/>
        </w:rPr>
        <w:t>.</w:t>
      </w:r>
    </w:p>
    <w:p w14:paraId="0B18FE7D" w14:textId="3E9A3AEA" w:rsidR="00172790" w:rsidRPr="00C42F42" w:rsidRDefault="00C42F42" w:rsidP="001C16B7">
      <w:pPr>
        <w:pStyle w:val="ListParagraph"/>
        <w:numPr>
          <w:ilvl w:val="0"/>
          <w:numId w:val="24"/>
        </w:numPr>
        <w:rPr>
          <w:b/>
          <w:bCs/>
        </w:rPr>
      </w:pPr>
      <w:r>
        <w:rPr>
          <w:b/>
          <w:bCs/>
        </w:rPr>
        <w:t>Debate and revise</w:t>
      </w:r>
      <w:r w:rsidR="00172790" w:rsidRPr="00172790">
        <w:rPr>
          <w:b/>
          <w:bCs/>
        </w:rPr>
        <w:t xml:space="preserve"> the system of councillor remuneration: </w:t>
      </w:r>
      <w:r w:rsidR="00172790" w:rsidRPr="00C42F42">
        <w:rPr>
          <w:bCs/>
        </w:rPr>
        <w:t>The inadequacies</w:t>
      </w:r>
      <w:r w:rsidR="00172790">
        <w:rPr>
          <w:bCs/>
        </w:rPr>
        <w:t xml:space="preserve">, contradictions and inconsistencies of the current system of councillor remuneration and the increasing complexities of the demands made upon, and the work and roles of the councillor, questions whether a shift to salaried </w:t>
      </w:r>
      <w:r w:rsidR="003B3C01">
        <w:rPr>
          <w:bCs/>
        </w:rPr>
        <w:t xml:space="preserve">councillors </w:t>
      </w:r>
      <w:r>
        <w:rPr>
          <w:bCs/>
        </w:rPr>
        <w:t xml:space="preserve">(full-time for some roles) </w:t>
      </w:r>
      <w:r w:rsidR="003B3C01">
        <w:rPr>
          <w:bCs/>
        </w:rPr>
        <w:t xml:space="preserve">is required. At very least consideration needs to be given as to whether the current system can be suitably reformed to meet the challenges councillors now face. </w:t>
      </w:r>
    </w:p>
    <w:p w14:paraId="0E0B028A" w14:textId="50B35D1E" w:rsidR="00287252" w:rsidRPr="00287252" w:rsidRDefault="00004998" w:rsidP="00287252">
      <w:pPr>
        <w:pStyle w:val="Heading3"/>
      </w:pPr>
      <w:r>
        <w:br w:type="page"/>
      </w:r>
      <w:r w:rsidR="00287252" w:rsidRPr="00287252">
        <w:lastRenderedPageBreak/>
        <w:t xml:space="preserve">Copyright </w:t>
      </w:r>
    </w:p>
    <w:p w14:paraId="576D2AD1" w14:textId="77777777" w:rsidR="00287252" w:rsidRPr="008314BD" w:rsidRDefault="00287252" w:rsidP="00287252">
      <w:r>
        <w:t xml:space="preserve">This paper </w:t>
      </w:r>
      <w:r w:rsidRPr="00D15736">
        <w:t xml:space="preserve">released under a Creative Commons </w:t>
      </w:r>
      <w:hyperlink r:id="rId12" w:history="1">
        <w:r w:rsidRPr="00D15736">
          <w:rPr>
            <w:rStyle w:val="Hyperlink"/>
          </w:rPr>
          <w:t>CC BY licence</w:t>
        </w:r>
      </w:hyperlink>
      <w:r w:rsidRPr="00D15736">
        <w:t>,</w:t>
      </w:r>
    </w:p>
    <w:p w14:paraId="5C48C03E" w14:textId="77777777" w:rsidR="00D375BD" w:rsidRPr="00D375BD" w:rsidRDefault="00287252" w:rsidP="00D375BD">
      <w:pPr>
        <w:rPr>
          <w:b/>
          <w:bCs/>
          <w:lang w:val="en-GB"/>
        </w:rPr>
      </w:pPr>
      <w:r>
        <w:t>D.O.I.</w:t>
      </w:r>
      <w:r w:rsidR="00D375BD">
        <w:t xml:space="preserve"> </w:t>
      </w:r>
      <w:r w:rsidR="00D375BD" w:rsidRPr="00D375BD">
        <w:rPr>
          <w:b/>
          <w:bCs/>
          <w:lang w:val="en-GB"/>
        </w:rPr>
        <w:t>10.25500/epapers.bham.00004445</w:t>
      </w:r>
    </w:p>
    <w:p w14:paraId="38C8D68A" w14:textId="77777777" w:rsidR="00287252" w:rsidRDefault="00287252" w:rsidP="00287252"/>
    <w:p w14:paraId="737A7142" w14:textId="33FFB721" w:rsidR="00287252" w:rsidRDefault="00287252" w:rsidP="00287252">
      <w:pPr>
        <w:pStyle w:val="Heading3"/>
      </w:pPr>
      <w:r>
        <w:t>Contact</w:t>
      </w:r>
    </w:p>
    <w:p w14:paraId="3A1A5689" w14:textId="147144B6" w:rsidR="00287252" w:rsidRDefault="00287252" w:rsidP="00287252">
      <w:r>
        <w:t xml:space="preserve">Please contact Jason Lowther at </w:t>
      </w:r>
      <w:hyperlink r:id="rId13" w:history="1">
        <w:r w:rsidRPr="00137293">
          <w:rPr>
            <w:rStyle w:val="Hyperlink"/>
          </w:rPr>
          <w:t>j.lowther@bham.ac.uk</w:t>
        </w:r>
      </w:hyperlink>
      <w:r>
        <w:t xml:space="preserve"> </w:t>
      </w:r>
    </w:p>
    <w:p w14:paraId="2C879E90" w14:textId="77777777" w:rsidR="00287252" w:rsidRDefault="00287252" w:rsidP="00287252"/>
    <w:p w14:paraId="3C9292EF" w14:textId="7597EA7D" w:rsidR="00287252" w:rsidRDefault="00287252" w:rsidP="00287252">
      <w:pPr>
        <w:pStyle w:val="Heading1"/>
        <w:rPr>
          <w:b/>
          <w:bCs/>
        </w:rPr>
      </w:pPr>
      <w:bookmarkStart w:id="11" w:name="_Toc232063651"/>
      <w:r>
        <w:t>References</w:t>
      </w:r>
      <w:bookmarkEnd w:id="11"/>
    </w:p>
    <w:sectPr w:rsidR="00287252" w:rsidSect="0087540B">
      <w:headerReference w:type="default" r:id="rId14"/>
      <w:footerReference w:type="default" r:id="rId15"/>
      <w:endnotePr>
        <w:numFmt w:val="decimal"/>
      </w:endnotePr>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1C60" w14:textId="77777777" w:rsidR="008207BB" w:rsidRDefault="008207BB" w:rsidP="007140C0">
      <w:pPr>
        <w:spacing w:after="0" w:line="240" w:lineRule="auto"/>
      </w:pPr>
      <w:r>
        <w:separator/>
      </w:r>
    </w:p>
  </w:endnote>
  <w:endnote w:type="continuationSeparator" w:id="0">
    <w:p w14:paraId="7B4D3F39" w14:textId="77777777" w:rsidR="008207BB" w:rsidRDefault="008207BB" w:rsidP="007140C0">
      <w:pPr>
        <w:spacing w:after="0" w:line="240" w:lineRule="auto"/>
      </w:pPr>
      <w:r>
        <w:continuationSeparator/>
      </w:r>
    </w:p>
  </w:endnote>
  <w:endnote w:id="1">
    <w:p w14:paraId="1966E984" w14:textId="2ADCE691" w:rsidR="007F6CFC" w:rsidRDefault="007F6CFC" w:rsidP="00004998">
      <w:pPr>
        <w:pStyle w:val="EndnoteText"/>
      </w:pPr>
      <w:r>
        <w:rPr>
          <w:rStyle w:val="EndnoteReference"/>
        </w:rPr>
        <w:endnoteRef/>
      </w:r>
      <w:r>
        <w:t xml:space="preserve"> Ray Tom</w:t>
      </w:r>
      <w:r w:rsidR="001F21DA">
        <w:t>k</w:t>
      </w:r>
      <w:r>
        <w:t xml:space="preserve">inson’s report, </w:t>
      </w:r>
      <w:r w:rsidRPr="00C72B2F">
        <w:rPr>
          <w:i/>
          <w:iCs/>
        </w:rPr>
        <w:t>Councillors Allowances In England: The Role Of Independent Remuneration Panels – A 2024/25 Position Overview</w:t>
      </w:r>
      <w:r>
        <w:t xml:space="preserve">, </w:t>
      </w:r>
      <w:r w:rsidR="001F21DA">
        <w:t>(64</w:t>
      </w:r>
      <w:r w:rsidR="000A34BB">
        <w:t xml:space="preserve"> </w:t>
      </w:r>
      <w:r w:rsidR="001F21DA">
        <w:t>p</w:t>
      </w:r>
      <w:r w:rsidR="000A34BB">
        <w:t>ages</w:t>
      </w:r>
      <w:r w:rsidR="001F21DA">
        <w:t xml:space="preserve">) </w:t>
      </w:r>
      <w:r>
        <w:t xml:space="preserve">is available </w:t>
      </w:r>
      <w:r w:rsidRPr="008F7539">
        <w:t xml:space="preserve">from </w:t>
      </w:r>
      <w:hyperlink r:id="rId1" w:history="1">
        <w:r w:rsidRPr="008F7539">
          <w:rPr>
            <w:rStyle w:val="Hyperlink"/>
            <w:color w:val="auto"/>
            <w:u w:val="none"/>
          </w:rPr>
          <w:t>ray_tomkinson@hotmail.co.uk</w:t>
        </w:r>
      </w:hyperlink>
      <w:r w:rsidR="001650E3">
        <w:t xml:space="preserve"> (</w:t>
      </w:r>
      <w:r w:rsidR="001F21DA">
        <w:t>£125 per electronic copy</w:t>
      </w:r>
      <w:r w:rsidR="001650E3">
        <w:t>)</w:t>
      </w:r>
      <w:r w:rsidR="001F21DA">
        <w:t>.</w:t>
      </w:r>
    </w:p>
  </w:endnote>
  <w:endnote w:id="2">
    <w:p w14:paraId="1C193423" w14:textId="77777777" w:rsidR="007F6CFC" w:rsidRDefault="007F6CFC" w:rsidP="00004998">
      <w:pPr>
        <w:pStyle w:val="EndnoteText"/>
      </w:pPr>
      <w:r>
        <w:rPr>
          <w:rStyle w:val="EndnoteReference"/>
        </w:rPr>
        <w:endnoteRef/>
      </w:r>
      <w:r>
        <w:t xml:space="preserve"> </w:t>
      </w:r>
      <w:hyperlink r:id="rId2" w:history="1">
        <w:r w:rsidRPr="00524DD6">
          <w:rPr>
            <w:rStyle w:val="Hyperlink"/>
          </w:rPr>
          <w:t>https://lama.ie/wp-content/uploads/2024/12/LG-11-2024-Allowances-and-Expenses-of-Elected-Members-of-Local-Authorities.pdf</w:t>
        </w:r>
      </w:hyperlink>
    </w:p>
  </w:endnote>
  <w:endnote w:id="3">
    <w:p w14:paraId="0DF1EBA0" w14:textId="77777777" w:rsidR="007F6CFC" w:rsidRDefault="007F6CFC" w:rsidP="00004998">
      <w:pPr>
        <w:pStyle w:val="EndnoteText"/>
      </w:pPr>
      <w:r>
        <w:rPr>
          <w:rStyle w:val="EndnoteReference"/>
        </w:rPr>
        <w:endnoteRef/>
      </w:r>
      <w:r>
        <w:t xml:space="preserve"> </w:t>
      </w:r>
      <w:hyperlink r:id="rId3" w:history="1">
        <w:r w:rsidRPr="00524DD6">
          <w:rPr>
            <w:rStyle w:val="Hyperlink"/>
          </w:rPr>
          <w:t>https://www.localelearning.com.au/blog/local-councillor-remuneration</w:t>
        </w:r>
      </w:hyperlink>
    </w:p>
  </w:endnote>
  <w:endnote w:id="4">
    <w:p w14:paraId="14E9027D" w14:textId="77777777" w:rsidR="007F6CFC" w:rsidRDefault="007F6CFC" w:rsidP="00004998">
      <w:pPr>
        <w:pStyle w:val="EndnoteText"/>
      </w:pPr>
      <w:r>
        <w:rPr>
          <w:rStyle w:val="EndnoteReference"/>
        </w:rPr>
        <w:endnoteRef/>
      </w:r>
      <w:r>
        <w:t xml:space="preserve"> </w:t>
      </w:r>
      <w:hyperlink r:id="rId4" w:history="1">
        <w:r w:rsidRPr="00524DD6">
          <w:rPr>
            <w:rStyle w:val="Hyperlink"/>
          </w:rPr>
          <w:t>https://www.remauthority.govt.nz/local-government-members/pay-local-government-members</w:t>
        </w:r>
      </w:hyperlink>
    </w:p>
  </w:endnote>
  <w:endnote w:id="5">
    <w:p w14:paraId="45BF38C7" w14:textId="6CE6E034" w:rsidR="007F6CFC" w:rsidRDefault="007F6CFC">
      <w:pPr>
        <w:pStyle w:val="EndnoteText"/>
      </w:pPr>
      <w:r>
        <w:rPr>
          <w:rStyle w:val="EndnoteReference"/>
        </w:rPr>
        <w:endnoteRef/>
      </w:r>
      <w:r>
        <w:t xml:space="preserve"> </w:t>
      </w:r>
      <w:r w:rsidRPr="007F6CFC">
        <w:t xml:space="preserve">Bovaird, T., Hands, D., Taylor, S. and Featherstone, R. (2007) Understanding the barriers and incentives to becoming and remaining a councillor in England: Department for Communities and Local Government. Available at: </w:t>
      </w:r>
      <w:hyperlink r:id="rId5" w:history="1">
        <w:r w:rsidRPr="00137293">
          <w:rPr>
            <w:rStyle w:val="Hyperlink"/>
          </w:rPr>
          <w:t>https://tinyurl.com/councillorbarrier</w:t>
        </w:r>
      </w:hyperlink>
      <w:r>
        <w:t xml:space="preserve"> </w:t>
      </w:r>
    </w:p>
  </w:endnote>
  <w:endnote w:id="6">
    <w:p w14:paraId="26D471B3" w14:textId="1CCAB061" w:rsidR="007F6CFC" w:rsidRDefault="007F6CFC">
      <w:pPr>
        <w:pStyle w:val="EndnoteText"/>
      </w:pPr>
      <w:r>
        <w:rPr>
          <w:rStyle w:val="EndnoteReference"/>
        </w:rPr>
        <w:endnoteRef/>
      </w:r>
      <w:r>
        <w:t xml:space="preserve"> </w:t>
      </w:r>
      <w:r w:rsidRPr="007F6CFC">
        <w:t>Lowndes, V., Pratchett, L. and Stoker, G. (2006) 'Diagnosing and remedying the failings of official participation schemes: The CLEAR framework', Social policy and Society, 5(2), pp. 281-291.</w:t>
      </w:r>
    </w:p>
  </w:endnote>
  <w:endnote w:id="7">
    <w:p w14:paraId="67C26373" w14:textId="3194CB36" w:rsidR="007F6CFC" w:rsidRDefault="007F6CFC">
      <w:pPr>
        <w:pStyle w:val="EndnoteText"/>
      </w:pPr>
      <w:r>
        <w:rPr>
          <w:rStyle w:val="EndnoteReference"/>
        </w:rPr>
        <w:endnoteRef/>
      </w:r>
      <w:r>
        <w:t xml:space="preserve"> </w:t>
      </w:r>
      <w:r w:rsidRPr="007F6CFC">
        <w:t>Cerqua, A., Nocito, S. and Pinto, G. (2025) Pay Incentives to Run for Local Governments: CESifo Working Paper. Available at: https://www.econstor.eu/bitstream/10419/316892.2/1/cesifo1_wp11778.pdf.</w:t>
      </w:r>
    </w:p>
  </w:endnote>
  <w:endnote w:id="8">
    <w:p w14:paraId="123C2D7E" w14:textId="7B0D3142" w:rsidR="007F6CFC" w:rsidRDefault="007F6CFC">
      <w:pPr>
        <w:pStyle w:val="EndnoteText"/>
      </w:pPr>
      <w:r>
        <w:rPr>
          <w:rStyle w:val="EndnoteReference"/>
        </w:rPr>
        <w:endnoteRef/>
      </w:r>
      <w:r>
        <w:t xml:space="preserve"> </w:t>
      </w:r>
      <w:r w:rsidRPr="007F6CFC">
        <w:t>Carnes, N. and Hansen, E. R. (2016) 'Does paying politicians more promote economic diversity in legislatures?', American Political Science Review, 110(4), pp. 699-716.</w:t>
      </w:r>
    </w:p>
  </w:endnote>
  <w:endnote w:id="9">
    <w:p w14:paraId="23D7DD7D" w14:textId="30AE3406" w:rsidR="007F6CFC" w:rsidRDefault="007F6CFC">
      <w:pPr>
        <w:pStyle w:val="EndnoteText"/>
      </w:pPr>
      <w:r>
        <w:rPr>
          <w:rStyle w:val="EndnoteReference"/>
        </w:rPr>
        <w:endnoteRef/>
      </w:r>
      <w:r>
        <w:t xml:space="preserve"> </w:t>
      </w:r>
      <w:r w:rsidRPr="007F6CFC">
        <w:t>Leach, S., Walsh, K. and Stewart, J. (1994) The changing organisation and management of local government. Bloomsbury Publishing.</w:t>
      </w:r>
    </w:p>
  </w:endnote>
  <w:endnote w:id="10">
    <w:p w14:paraId="3C1F8D1E" w14:textId="4180EBE4" w:rsidR="007F6CFC" w:rsidRDefault="007F6CFC">
      <w:pPr>
        <w:pStyle w:val="EndnoteText"/>
      </w:pPr>
      <w:r>
        <w:rPr>
          <w:rStyle w:val="EndnoteReference"/>
        </w:rPr>
        <w:endnoteRef/>
      </w:r>
      <w:r>
        <w:t xml:space="preserve"> </w:t>
      </w:r>
      <w:r w:rsidRPr="007F6CFC">
        <w:t>Copus, C. (2004) 'Directly elected mayors: A tonic for local governance or old wine in new bottles?', Local Government Studies, 30(4), pp. 576-588.</w:t>
      </w:r>
    </w:p>
  </w:endnote>
  <w:endnote w:id="11">
    <w:p w14:paraId="10E14C8D" w14:textId="5F66766A" w:rsidR="007F6CFC" w:rsidRDefault="007F6CFC" w:rsidP="001C16B7">
      <w:pPr>
        <w:pStyle w:val="EndnoteText"/>
      </w:pPr>
      <w:r>
        <w:rPr>
          <w:rStyle w:val="EndnoteReference"/>
        </w:rPr>
        <w:endnoteRef/>
      </w:r>
      <w:r>
        <w:t xml:space="preserve"> LGA, </w:t>
      </w:r>
      <w:r w:rsidRPr="00C72B2F">
        <w:rPr>
          <w:i/>
          <w:iCs/>
        </w:rPr>
        <w:t>National census of local authority councillors 2022</w:t>
      </w:r>
      <w:r>
        <w:t xml:space="preserve">.  Available at: </w:t>
      </w:r>
      <w:hyperlink r:id="rId6" w:history="1">
        <w:r w:rsidRPr="00524DD6">
          <w:rPr>
            <w:rStyle w:val="Hyperlink"/>
          </w:rPr>
          <w:t>https://www.local.gov.uk/publications/national-census-local-authority-councillors-2022</w:t>
        </w:r>
      </w:hyperlink>
      <w:r>
        <w:t xml:space="preserve"> </w:t>
      </w:r>
    </w:p>
  </w:endnote>
  <w:endnote w:id="12">
    <w:p w14:paraId="584F36CB" w14:textId="7DEF463C" w:rsidR="007F6CFC" w:rsidRDefault="007F6CFC">
      <w:pPr>
        <w:pStyle w:val="EndnoteText"/>
      </w:pPr>
      <w:r>
        <w:rPr>
          <w:rStyle w:val="EndnoteReference"/>
        </w:rPr>
        <w:endnoteRef/>
      </w:r>
      <w:r>
        <w:t xml:space="preserve"> </w:t>
      </w:r>
      <w:r w:rsidRPr="007F6CFC">
        <w:rPr>
          <w:noProof/>
        </w:rPr>
        <w:t xml:space="preserve">Copus, C. (2015) 'In defence of councillors',  </w:t>
      </w:r>
      <w:r w:rsidRPr="007F6CFC">
        <w:rPr>
          <w:i/>
          <w:noProof/>
        </w:rPr>
        <w:t>In defence of councillors</w:t>
      </w:r>
      <w:r w:rsidRPr="007F6CFC">
        <w:rPr>
          <w:noProof/>
        </w:rPr>
        <w:t>: Manchester University Press.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512192"/>
      <w:docPartObj>
        <w:docPartGallery w:val="Page Numbers (Bottom of Page)"/>
        <w:docPartUnique/>
      </w:docPartObj>
    </w:sdtPr>
    <w:sdtContent>
      <w:sdt>
        <w:sdtPr>
          <w:id w:val="-1769616900"/>
          <w:docPartObj>
            <w:docPartGallery w:val="Page Numbers (Top of Page)"/>
            <w:docPartUnique/>
          </w:docPartObj>
        </w:sdtPr>
        <w:sdtContent>
          <w:p w14:paraId="10DE58DB" w14:textId="77777777" w:rsidR="005B627A" w:rsidRPr="005B627A" w:rsidRDefault="005B627A">
            <w:pPr>
              <w:pStyle w:val="Footer"/>
              <w:jc w:val="right"/>
            </w:pPr>
            <w:r w:rsidRPr="005B627A">
              <w:t xml:space="preserve">Page </w:t>
            </w:r>
            <w:r w:rsidRPr="005B627A">
              <w:rPr>
                <w:szCs w:val="24"/>
              </w:rPr>
              <w:fldChar w:fldCharType="begin"/>
            </w:r>
            <w:r w:rsidRPr="005B627A">
              <w:instrText xml:space="preserve"> PAGE </w:instrText>
            </w:r>
            <w:r w:rsidRPr="005B627A">
              <w:rPr>
                <w:szCs w:val="24"/>
              </w:rPr>
              <w:fldChar w:fldCharType="separate"/>
            </w:r>
            <w:r w:rsidR="00EA2559">
              <w:rPr>
                <w:noProof/>
              </w:rPr>
              <w:t>12</w:t>
            </w:r>
            <w:r w:rsidRPr="005B627A">
              <w:rPr>
                <w:szCs w:val="24"/>
              </w:rPr>
              <w:fldChar w:fldCharType="end"/>
            </w:r>
            <w:r w:rsidRPr="005B627A">
              <w:t xml:space="preserve"> of </w:t>
            </w:r>
            <w:fldSimple w:instr=" NUMPAGES  ">
              <w:r w:rsidR="00EA2559">
                <w:rPr>
                  <w:noProof/>
                </w:rPr>
                <w:t>14</w:t>
              </w:r>
            </w:fldSimple>
          </w:p>
        </w:sdtContent>
      </w:sdt>
    </w:sdtContent>
  </w:sdt>
  <w:p w14:paraId="3D03966F" w14:textId="77777777" w:rsidR="005B627A" w:rsidRDefault="005B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412E" w14:textId="77777777" w:rsidR="008207BB" w:rsidRDefault="008207BB" w:rsidP="007140C0">
      <w:pPr>
        <w:spacing w:after="0" w:line="240" w:lineRule="auto"/>
      </w:pPr>
      <w:r>
        <w:separator/>
      </w:r>
    </w:p>
  </w:footnote>
  <w:footnote w:type="continuationSeparator" w:id="0">
    <w:p w14:paraId="6A59CE1B" w14:textId="77777777" w:rsidR="008207BB" w:rsidRDefault="008207BB" w:rsidP="00714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B53" w14:textId="77777777" w:rsidR="007140C0" w:rsidRPr="007140C0" w:rsidRDefault="00004998" w:rsidP="00004998">
    <w:pPr>
      <w:pStyle w:val="Header"/>
      <w:spacing w:after="240"/>
      <w:jc w:val="center"/>
    </w:pPr>
    <w:r w:rsidRPr="00004998">
      <w:t>Paying for Local Democracy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2A4"/>
    <w:multiLevelType w:val="hybridMultilevel"/>
    <w:tmpl w:val="1BB8AA9A"/>
    <w:lvl w:ilvl="0" w:tplc="10090001">
      <w:start w:val="1"/>
      <w:numFmt w:val="bullet"/>
      <w:lvlText w:val=""/>
      <w:lvlJc w:val="left"/>
      <w:pPr>
        <w:ind w:left="3762" w:hanging="360"/>
      </w:pPr>
      <w:rPr>
        <w:rFonts w:ascii="Symbol" w:hAnsi="Symbol" w:hint="default"/>
      </w:rPr>
    </w:lvl>
    <w:lvl w:ilvl="1" w:tplc="10090003" w:tentative="1">
      <w:start w:val="1"/>
      <w:numFmt w:val="bullet"/>
      <w:lvlText w:val="o"/>
      <w:lvlJc w:val="left"/>
      <w:pPr>
        <w:ind w:left="4482" w:hanging="360"/>
      </w:pPr>
      <w:rPr>
        <w:rFonts w:ascii="Courier New" w:hAnsi="Courier New" w:cs="Courier New" w:hint="default"/>
      </w:rPr>
    </w:lvl>
    <w:lvl w:ilvl="2" w:tplc="10090005" w:tentative="1">
      <w:start w:val="1"/>
      <w:numFmt w:val="bullet"/>
      <w:lvlText w:val=""/>
      <w:lvlJc w:val="left"/>
      <w:pPr>
        <w:ind w:left="5202" w:hanging="360"/>
      </w:pPr>
      <w:rPr>
        <w:rFonts w:ascii="Wingdings" w:hAnsi="Wingdings" w:hint="default"/>
      </w:rPr>
    </w:lvl>
    <w:lvl w:ilvl="3" w:tplc="10090001" w:tentative="1">
      <w:start w:val="1"/>
      <w:numFmt w:val="bullet"/>
      <w:lvlText w:val=""/>
      <w:lvlJc w:val="left"/>
      <w:pPr>
        <w:ind w:left="5922" w:hanging="360"/>
      </w:pPr>
      <w:rPr>
        <w:rFonts w:ascii="Symbol" w:hAnsi="Symbol" w:hint="default"/>
      </w:rPr>
    </w:lvl>
    <w:lvl w:ilvl="4" w:tplc="10090003" w:tentative="1">
      <w:start w:val="1"/>
      <w:numFmt w:val="bullet"/>
      <w:lvlText w:val="o"/>
      <w:lvlJc w:val="left"/>
      <w:pPr>
        <w:ind w:left="6642" w:hanging="360"/>
      </w:pPr>
      <w:rPr>
        <w:rFonts w:ascii="Courier New" w:hAnsi="Courier New" w:cs="Courier New" w:hint="default"/>
      </w:rPr>
    </w:lvl>
    <w:lvl w:ilvl="5" w:tplc="10090005" w:tentative="1">
      <w:start w:val="1"/>
      <w:numFmt w:val="bullet"/>
      <w:lvlText w:val=""/>
      <w:lvlJc w:val="left"/>
      <w:pPr>
        <w:ind w:left="7362" w:hanging="360"/>
      </w:pPr>
      <w:rPr>
        <w:rFonts w:ascii="Wingdings" w:hAnsi="Wingdings" w:hint="default"/>
      </w:rPr>
    </w:lvl>
    <w:lvl w:ilvl="6" w:tplc="10090001" w:tentative="1">
      <w:start w:val="1"/>
      <w:numFmt w:val="bullet"/>
      <w:lvlText w:val=""/>
      <w:lvlJc w:val="left"/>
      <w:pPr>
        <w:ind w:left="8082" w:hanging="360"/>
      </w:pPr>
      <w:rPr>
        <w:rFonts w:ascii="Symbol" w:hAnsi="Symbol" w:hint="default"/>
      </w:rPr>
    </w:lvl>
    <w:lvl w:ilvl="7" w:tplc="10090003" w:tentative="1">
      <w:start w:val="1"/>
      <w:numFmt w:val="bullet"/>
      <w:lvlText w:val="o"/>
      <w:lvlJc w:val="left"/>
      <w:pPr>
        <w:ind w:left="8802" w:hanging="360"/>
      </w:pPr>
      <w:rPr>
        <w:rFonts w:ascii="Courier New" w:hAnsi="Courier New" w:cs="Courier New" w:hint="default"/>
      </w:rPr>
    </w:lvl>
    <w:lvl w:ilvl="8" w:tplc="10090005" w:tentative="1">
      <w:start w:val="1"/>
      <w:numFmt w:val="bullet"/>
      <w:lvlText w:val=""/>
      <w:lvlJc w:val="left"/>
      <w:pPr>
        <w:ind w:left="9522" w:hanging="360"/>
      </w:pPr>
      <w:rPr>
        <w:rFonts w:ascii="Wingdings" w:hAnsi="Wingdings" w:hint="default"/>
      </w:rPr>
    </w:lvl>
  </w:abstractNum>
  <w:abstractNum w:abstractNumId="1" w15:restartNumberingAfterBreak="0">
    <w:nsid w:val="090B11AF"/>
    <w:multiLevelType w:val="multilevel"/>
    <w:tmpl w:val="494A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93F76"/>
    <w:multiLevelType w:val="hybridMultilevel"/>
    <w:tmpl w:val="0ECE3E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4A0A0C"/>
    <w:multiLevelType w:val="hybridMultilevel"/>
    <w:tmpl w:val="36F6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B51F8"/>
    <w:multiLevelType w:val="multilevel"/>
    <w:tmpl w:val="D270C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F3A95"/>
    <w:multiLevelType w:val="hybridMultilevel"/>
    <w:tmpl w:val="61B8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2142B"/>
    <w:multiLevelType w:val="hybridMultilevel"/>
    <w:tmpl w:val="BE229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942773"/>
    <w:multiLevelType w:val="hybridMultilevel"/>
    <w:tmpl w:val="46FA6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AA5370"/>
    <w:multiLevelType w:val="hybridMultilevel"/>
    <w:tmpl w:val="3D9853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9C1842"/>
    <w:multiLevelType w:val="hybridMultilevel"/>
    <w:tmpl w:val="33440E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4B5B66"/>
    <w:multiLevelType w:val="hybridMultilevel"/>
    <w:tmpl w:val="61B86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1773A3"/>
    <w:multiLevelType w:val="hybridMultilevel"/>
    <w:tmpl w:val="E76A60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50B47DE"/>
    <w:multiLevelType w:val="hybridMultilevel"/>
    <w:tmpl w:val="89A63D6A"/>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F0893"/>
    <w:multiLevelType w:val="hybridMultilevel"/>
    <w:tmpl w:val="4CFA8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89047B9"/>
    <w:multiLevelType w:val="hybridMultilevel"/>
    <w:tmpl w:val="A274AA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9FC7173"/>
    <w:multiLevelType w:val="hybridMultilevel"/>
    <w:tmpl w:val="520C1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390D73"/>
    <w:multiLevelType w:val="hybridMultilevel"/>
    <w:tmpl w:val="D5281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235DE9"/>
    <w:multiLevelType w:val="hybridMultilevel"/>
    <w:tmpl w:val="F07C70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2974FB"/>
    <w:multiLevelType w:val="hybridMultilevel"/>
    <w:tmpl w:val="0A7EC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9208FB"/>
    <w:multiLevelType w:val="multilevel"/>
    <w:tmpl w:val="8A0E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52F36"/>
    <w:multiLevelType w:val="hybridMultilevel"/>
    <w:tmpl w:val="DD44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A6A1D"/>
    <w:multiLevelType w:val="multilevel"/>
    <w:tmpl w:val="58D6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9837AF"/>
    <w:multiLevelType w:val="multilevel"/>
    <w:tmpl w:val="E15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328AD"/>
    <w:multiLevelType w:val="hybridMultilevel"/>
    <w:tmpl w:val="7B9E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668E7"/>
    <w:multiLevelType w:val="multilevel"/>
    <w:tmpl w:val="81CC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55ACE"/>
    <w:multiLevelType w:val="hybridMultilevel"/>
    <w:tmpl w:val="0ECE3E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06C91"/>
    <w:multiLevelType w:val="multilevel"/>
    <w:tmpl w:val="6A42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73879"/>
    <w:multiLevelType w:val="multilevel"/>
    <w:tmpl w:val="9132D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414DA"/>
    <w:multiLevelType w:val="multilevel"/>
    <w:tmpl w:val="4D60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C5D13"/>
    <w:multiLevelType w:val="multilevel"/>
    <w:tmpl w:val="E266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17D73"/>
    <w:multiLevelType w:val="multilevel"/>
    <w:tmpl w:val="E7E0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B5247"/>
    <w:multiLevelType w:val="multilevel"/>
    <w:tmpl w:val="8D7C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E00F5"/>
    <w:multiLevelType w:val="hybridMultilevel"/>
    <w:tmpl w:val="22BE20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7A3F5E"/>
    <w:multiLevelType w:val="hybridMultilevel"/>
    <w:tmpl w:val="7B50232E"/>
    <w:lvl w:ilvl="0" w:tplc="BE84695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C5B0C1F"/>
    <w:multiLevelType w:val="hybridMultilevel"/>
    <w:tmpl w:val="74904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C935870"/>
    <w:multiLevelType w:val="hybridMultilevel"/>
    <w:tmpl w:val="A0542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D173A05"/>
    <w:multiLevelType w:val="multilevel"/>
    <w:tmpl w:val="11F8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A75B2"/>
    <w:multiLevelType w:val="hybridMultilevel"/>
    <w:tmpl w:val="E392E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E235899"/>
    <w:multiLevelType w:val="multilevel"/>
    <w:tmpl w:val="4BC67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499022">
    <w:abstractNumId w:val="12"/>
  </w:num>
  <w:num w:numId="2" w16cid:durableId="1758361698">
    <w:abstractNumId w:val="25"/>
  </w:num>
  <w:num w:numId="3" w16cid:durableId="404954992">
    <w:abstractNumId w:val="2"/>
  </w:num>
  <w:num w:numId="4" w16cid:durableId="39013943">
    <w:abstractNumId w:val="5"/>
  </w:num>
  <w:num w:numId="5" w16cid:durableId="504856017">
    <w:abstractNumId w:val="10"/>
  </w:num>
  <w:num w:numId="6" w16cid:durableId="1803424370">
    <w:abstractNumId w:val="32"/>
  </w:num>
  <w:num w:numId="7" w16cid:durableId="1234582437">
    <w:abstractNumId w:val="0"/>
  </w:num>
  <w:num w:numId="8" w16cid:durableId="1261915974">
    <w:abstractNumId w:val="35"/>
  </w:num>
  <w:num w:numId="9" w16cid:durableId="197858913">
    <w:abstractNumId w:val="34"/>
  </w:num>
  <w:num w:numId="10" w16cid:durableId="262960428">
    <w:abstractNumId w:val="17"/>
  </w:num>
  <w:num w:numId="11" w16cid:durableId="201598269">
    <w:abstractNumId w:val="14"/>
  </w:num>
  <w:num w:numId="12" w16cid:durableId="1337029435">
    <w:abstractNumId w:val="13"/>
  </w:num>
  <w:num w:numId="13" w16cid:durableId="704066980">
    <w:abstractNumId w:val="11"/>
  </w:num>
  <w:num w:numId="14" w16cid:durableId="1258902364">
    <w:abstractNumId w:val="9"/>
  </w:num>
  <w:num w:numId="15" w16cid:durableId="1743404367">
    <w:abstractNumId w:val="6"/>
  </w:num>
  <w:num w:numId="16" w16cid:durableId="424151048">
    <w:abstractNumId w:val="8"/>
  </w:num>
  <w:num w:numId="17" w16cid:durableId="1568372712">
    <w:abstractNumId w:val="16"/>
  </w:num>
  <w:num w:numId="18" w16cid:durableId="349571883">
    <w:abstractNumId w:val="18"/>
  </w:num>
  <w:num w:numId="19" w16cid:durableId="1519781994">
    <w:abstractNumId w:val="37"/>
  </w:num>
  <w:num w:numId="20" w16cid:durableId="1210536457">
    <w:abstractNumId w:val="7"/>
  </w:num>
  <w:num w:numId="21" w16cid:durableId="1206065489">
    <w:abstractNumId w:val="33"/>
  </w:num>
  <w:num w:numId="22" w16cid:durableId="1110591400">
    <w:abstractNumId w:val="23"/>
  </w:num>
  <w:num w:numId="23" w16cid:durableId="46144842">
    <w:abstractNumId w:val="20"/>
  </w:num>
  <w:num w:numId="24" w16cid:durableId="1991518407">
    <w:abstractNumId w:val="15"/>
  </w:num>
  <w:num w:numId="25" w16cid:durableId="1864902383">
    <w:abstractNumId w:val="19"/>
  </w:num>
  <w:num w:numId="26" w16cid:durableId="1589072211">
    <w:abstractNumId w:val="24"/>
  </w:num>
  <w:num w:numId="27" w16cid:durableId="183790527">
    <w:abstractNumId w:val="27"/>
  </w:num>
  <w:num w:numId="28" w16cid:durableId="1688023277">
    <w:abstractNumId w:val="22"/>
  </w:num>
  <w:num w:numId="29" w16cid:durableId="468979404">
    <w:abstractNumId w:val="31"/>
  </w:num>
  <w:num w:numId="30" w16cid:durableId="15087083">
    <w:abstractNumId w:val="38"/>
  </w:num>
  <w:num w:numId="31" w16cid:durableId="114712126">
    <w:abstractNumId w:val="30"/>
  </w:num>
  <w:num w:numId="32" w16cid:durableId="1051688523">
    <w:abstractNumId w:val="1"/>
  </w:num>
  <w:num w:numId="33" w16cid:durableId="1064839007">
    <w:abstractNumId w:val="28"/>
  </w:num>
  <w:num w:numId="34" w16cid:durableId="1566211961">
    <w:abstractNumId w:val="21"/>
  </w:num>
  <w:num w:numId="35" w16cid:durableId="1849633851">
    <w:abstractNumId w:val="26"/>
  </w:num>
  <w:num w:numId="36" w16cid:durableId="593560916">
    <w:abstractNumId w:val="29"/>
  </w:num>
  <w:num w:numId="37" w16cid:durableId="1621648392">
    <w:abstractNumId w:val="36"/>
  </w:num>
  <w:num w:numId="38" w16cid:durableId="1420979463">
    <w:abstractNumId w:val="4"/>
  </w:num>
  <w:num w:numId="39" w16cid:durableId="1659578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Cite Them Right-Harvard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56532"/>
    <w:rsid w:val="00004998"/>
    <w:rsid w:val="00007BDD"/>
    <w:rsid w:val="0002618E"/>
    <w:rsid w:val="00051E55"/>
    <w:rsid w:val="00056B40"/>
    <w:rsid w:val="00075B49"/>
    <w:rsid w:val="000A3134"/>
    <w:rsid w:val="000A34BB"/>
    <w:rsid w:val="000B044C"/>
    <w:rsid w:val="000C0170"/>
    <w:rsid w:val="00111269"/>
    <w:rsid w:val="00125564"/>
    <w:rsid w:val="00140237"/>
    <w:rsid w:val="00160718"/>
    <w:rsid w:val="001650E3"/>
    <w:rsid w:val="00172790"/>
    <w:rsid w:val="001941A9"/>
    <w:rsid w:val="001A768A"/>
    <w:rsid w:val="001C16B7"/>
    <w:rsid w:val="001C4558"/>
    <w:rsid w:val="001D04E7"/>
    <w:rsid w:val="001F21DA"/>
    <w:rsid w:val="001F7F48"/>
    <w:rsid w:val="00207D21"/>
    <w:rsid w:val="00220091"/>
    <w:rsid w:val="0022704F"/>
    <w:rsid w:val="00235279"/>
    <w:rsid w:val="002459E9"/>
    <w:rsid w:val="00252CB2"/>
    <w:rsid w:val="00254AB1"/>
    <w:rsid w:val="002748C9"/>
    <w:rsid w:val="00287252"/>
    <w:rsid w:val="00287780"/>
    <w:rsid w:val="002A2F9B"/>
    <w:rsid w:val="002A7C50"/>
    <w:rsid w:val="002B7919"/>
    <w:rsid w:val="002E4D93"/>
    <w:rsid w:val="003031C3"/>
    <w:rsid w:val="003245D4"/>
    <w:rsid w:val="003734C7"/>
    <w:rsid w:val="00383C33"/>
    <w:rsid w:val="00390EBF"/>
    <w:rsid w:val="0039260D"/>
    <w:rsid w:val="003A468D"/>
    <w:rsid w:val="003B3C01"/>
    <w:rsid w:val="003B5AEB"/>
    <w:rsid w:val="003E2895"/>
    <w:rsid w:val="00445576"/>
    <w:rsid w:val="0048044B"/>
    <w:rsid w:val="004B15E7"/>
    <w:rsid w:val="004E5245"/>
    <w:rsid w:val="004F56E9"/>
    <w:rsid w:val="00510E3F"/>
    <w:rsid w:val="005177D0"/>
    <w:rsid w:val="00524383"/>
    <w:rsid w:val="0055527B"/>
    <w:rsid w:val="0057279A"/>
    <w:rsid w:val="00580D46"/>
    <w:rsid w:val="00591D23"/>
    <w:rsid w:val="005A117F"/>
    <w:rsid w:val="005B627A"/>
    <w:rsid w:val="005E41A1"/>
    <w:rsid w:val="00600223"/>
    <w:rsid w:val="006241FF"/>
    <w:rsid w:val="00670750"/>
    <w:rsid w:val="00670F00"/>
    <w:rsid w:val="00683302"/>
    <w:rsid w:val="00690E1D"/>
    <w:rsid w:val="006A0C9A"/>
    <w:rsid w:val="006A5A40"/>
    <w:rsid w:val="006B4D5C"/>
    <w:rsid w:val="006F279A"/>
    <w:rsid w:val="00710885"/>
    <w:rsid w:val="007140C0"/>
    <w:rsid w:val="00732297"/>
    <w:rsid w:val="00733EBB"/>
    <w:rsid w:val="00743E57"/>
    <w:rsid w:val="00753E46"/>
    <w:rsid w:val="00761561"/>
    <w:rsid w:val="00776EA6"/>
    <w:rsid w:val="00784989"/>
    <w:rsid w:val="007A2E2A"/>
    <w:rsid w:val="007A7699"/>
    <w:rsid w:val="007A7B3B"/>
    <w:rsid w:val="007D43B7"/>
    <w:rsid w:val="007E11EC"/>
    <w:rsid w:val="007E1F31"/>
    <w:rsid w:val="007E40F1"/>
    <w:rsid w:val="007E48E3"/>
    <w:rsid w:val="007F6CFC"/>
    <w:rsid w:val="008207BB"/>
    <w:rsid w:val="00823B42"/>
    <w:rsid w:val="00841F33"/>
    <w:rsid w:val="00854A6C"/>
    <w:rsid w:val="0085726D"/>
    <w:rsid w:val="008743B2"/>
    <w:rsid w:val="0087540B"/>
    <w:rsid w:val="0088706A"/>
    <w:rsid w:val="00896B46"/>
    <w:rsid w:val="008971A4"/>
    <w:rsid w:val="008A2EEF"/>
    <w:rsid w:val="008C18D4"/>
    <w:rsid w:val="008C220E"/>
    <w:rsid w:val="008E6024"/>
    <w:rsid w:val="008F564D"/>
    <w:rsid w:val="008F7539"/>
    <w:rsid w:val="00910A9C"/>
    <w:rsid w:val="00927D87"/>
    <w:rsid w:val="00931A83"/>
    <w:rsid w:val="00947D1E"/>
    <w:rsid w:val="00975923"/>
    <w:rsid w:val="00981093"/>
    <w:rsid w:val="00981F2B"/>
    <w:rsid w:val="00982C50"/>
    <w:rsid w:val="00991254"/>
    <w:rsid w:val="00994064"/>
    <w:rsid w:val="00995803"/>
    <w:rsid w:val="009A63AF"/>
    <w:rsid w:val="009C225F"/>
    <w:rsid w:val="00A04BDA"/>
    <w:rsid w:val="00A20F1A"/>
    <w:rsid w:val="00A42B55"/>
    <w:rsid w:val="00A60023"/>
    <w:rsid w:val="00A60677"/>
    <w:rsid w:val="00A66687"/>
    <w:rsid w:val="00A75CF0"/>
    <w:rsid w:val="00A8380B"/>
    <w:rsid w:val="00A923D2"/>
    <w:rsid w:val="00AA64DC"/>
    <w:rsid w:val="00AB274D"/>
    <w:rsid w:val="00AC258B"/>
    <w:rsid w:val="00AC36A1"/>
    <w:rsid w:val="00AE57B9"/>
    <w:rsid w:val="00AF01CD"/>
    <w:rsid w:val="00AF1CAC"/>
    <w:rsid w:val="00B16F8F"/>
    <w:rsid w:val="00B210DF"/>
    <w:rsid w:val="00B43B88"/>
    <w:rsid w:val="00B43E29"/>
    <w:rsid w:val="00B50DBF"/>
    <w:rsid w:val="00B6534F"/>
    <w:rsid w:val="00B83146"/>
    <w:rsid w:val="00BB1374"/>
    <w:rsid w:val="00C0253F"/>
    <w:rsid w:val="00C23352"/>
    <w:rsid w:val="00C25682"/>
    <w:rsid w:val="00C365BA"/>
    <w:rsid w:val="00C367EC"/>
    <w:rsid w:val="00C42F42"/>
    <w:rsid w:val="00C45AD1"/>
    <w:rsid w:val="00C56532"/>
    <w:rsid w:val="00C67661"/>
    <w:rsid w:val="00CE0456"/>
    <w:rsid w:val="00CF3878"/>
    <w:rsid w:val="00D11A3F"/>
    <w:rsid w:val="00D21265"/>
    <w:rsid w:val="00D2580E"/>
    <w:rsid w:val="00D32B5D"/>
    <w:rsid w:val="00D375BD"/>
    <w:rsid w:val="00D51D89"/>
    <w:rsid w:val="00D57B42"/>
    <w:rsid w:val="00D944CD"/>
    <w:rsid w:val="00DA3BEE"/>
    <w:rsid w:val="00DB5DCC"/>
    <w:rsid w:val="00DB7E1B"/>
    <w:rsid w:val="00DD0449"/>
    <w:rsid w:val="00DE494A"/>
    <w:rsid w:val="00DE6391"/>
    <w:rsid w:val="00DF15E5"/>
    <w:rsid w:val="00E1049C"/>
    <w:rsid w:val="00E40C01"/>
    <w:rsid w:val="00E47F9E"/>
    <w:rsid w:val="00E62B62"/>
    <w:rsid w:val="00E6356E"/>
    <w:rsid w:val="00E63924"/>
    <w:rsid w:val="00E64286"/>
    <w:rsid w:val="00E72722"/>
    <w:rsid w:val="00E868C0"/>
    <w:rsid w:val="00EA1FF9"/>
    <w:rsid w:val="00EA2559"/>
    <w:rsid w:val="00EB612A"/>
    <w:rsid w:val="00EB7661"/>
    <w:rsid w:val="00EC76F8"/>
    <w:rsid w:val="00EE4E33"/>
    <w:rsid w:val="00F30576"/>
    <w:rsid w:val="00F310D5"/>
    <w:rsid w:val="00F45665"/>
    <w:rsid w:val="00F56F16"/>
    <w:rsid w:val="00F603D5"/>
    <w:rsid w:val="00F704BE"/>
    <w:rsid w:val="00F7415F"/>
    <w:rsid w:val="00F8617A"/>
    <w:rsid w:val="00FB2BBD"/>
    <w:rsid w:val="00FD67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C6F34"/>
  <w15:docId w15:val="{606948B9-BCF2-4E28-8BA3-EB40F881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C0"/>
    <w:rPr>
      <w:rFonts w:ascii="Arial" w:hAnsi="Arial"/>
      <w:sz w:val="24"/>
    </w:rPr>
  </w:style>
  <w:style w:type="paragraph" w:styleId="Heading1">
    <w:name w:val="heading 1"/>
    <w:basedOn w:val="Normal"/>
    <w:next w:val="Normal"/>
    <w:link w:val="Heading1Char"/>
    <w:uiPriority w:val="9"/>
    <w:qFormat/>
    <w:rsid w:val="00A04BDA"/>
    <w:pPr>
      <w:keepNext/>
      <w:keepLines/>
      <w:spacing w:before="360" w:after="80"/>
      <w:outlineLvl w:val="0"/>
    </w:pPr>
    <w:rPr>
      <w:rFonts w:ascii="Times New Roman" w:eastAsiaTheme="majorEastAsia" w:hAnsi="Times New Roman" w:cstheme="majorBidi"/>
      <w:color w:val="005929" w:themeColor="accent1" w:themeShade="BF"/>
      <w:sz w:val="40"/>
      <w:szCs w:val="40"/>
      <w:lang w:val="en-GB"/>
    </w:rPr>
  </w:style>
  <w:style w:type="paragraph" w:styleId="Heading2">
    <w:name w:val="heading 2"/>
    <w:basedOn w:val="Normal"/>
    <w:next w:val="Normal"/>
    <w:link w:val="Heading2Char"/>
    <w:uiPriority w:val="9"/>
    <w:unhideWhenUsed/>
    <w:qFormat/>
    <w:rsid w:val="00A04BDA"/>
    <w:pPr>
      <w:keepNext/>
      <w:keepLines/>
      <w:spacing w:before="160" w:after="80"/>
      <w:outlineLvl w:val="1"/>
    </w:pPr>
    <w:rPr>
      <w:rFonts w:ascii="Times New Roman" w:eastAsiaTheme="majorEastAsia" w:hAnsi="Times New Roman" w:cstheme="majorBidi"/>
      <w:color w:val="005929" w:themeColor="accent1" w:themeShade="BF"/>
      <w:sz w:val="32"/>
      <w:szCs w:val="32"/>
      <w:lang w:val="en-GB"/>
    </w:rPr>
  </w:style>
  <w:style w:type="paragraph" w:styleId="Heading3">
    <w:name w:val="heading 3"/>
    <w:basedOn w:val="Heading2"/>
    <w:next w:val="Normal"/>
    <w:link w:val="Heading3Char"/>
    <w:uiPriority w:val="9"/>
    <w:unhideWhenUsed/>
    <w:qFormat/>
    <w:rsid w:val="00287252"/>
    <w:pPr>
      <w:outlineLvl w:val="2"/>
    </w:pPr>
  </w:style>
  <w:style w:type="paragraph" w:styleId="Heading4">
    <w:name w:val="heading 4"/>
    <w:basedOn w:val="Normal"/>
    <w:next w:val="Normal"/>
    <w:link w:val="Heading4Char"/>
    <w:uiPriority w:val="9"/>
    <w:semiHidden/>
    <w:unhideWhenUsed/>
    <w:qFormat/>
    <w:rsid w:val="002459E9"/>
    <w:pPr>
      <w:keepNext/>
      <w:keepLines/>
      <w:spacing w:before="160" w:after="120"/>
      <w:outlineLvl w:val="3"/>
    </w:pPr>
    <w:rPr>
      <w:rFonts w:eastAsiaTheme="majorEastAsia"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BDA"/>
    <w:rPr>
      <w:rFonts w:ascii="Times New Roman" w:eastAsiaTheme="majorEastAsia" w:hAnsi="Times New Roman" w:cstheme="majorBidi"/>
      <w:color w:val="005929" w:themeColor="accent1" w:themeShade="BF"/>
      <w:sz w:val="40"/>
      <w:szCs w:val="40"/>
      <w:lang w:val="en-GB"/>
    </w:rPr>
  </w:style>
  <w:style w:type="character" w:customStyle="1" w:styleId="Heading2Char">
    <w:name w:val="Heading 2 Char"/>
    <w:basedOn w:val="DefaultParagraphFont"/>
    <w:link w:val="Heading2"/>
    <w:uiPriority w:val="9"/>
    <w:rsid w:val="00A04BDA"/>
    <w:rPr>
      <w:rFonts w:ascii="Times New Roman" w:eastAsiaTheme="majorEastAsia" w:hAnsi="Times New Roman" w:cstheme="majorBidi"/>
      <w:color w:val="005929" w:themeColor="accent1" w:themeShade="BF"/>
      <w:sz w:val="32"/>
      <w:szCs w:val="32"/>
      <w:lang w:val="en-GB"/>
    </w:rPr>
  </w:style>
  <w:style w:type="paragraph" w:styleId="Header">
    <w:name w:val="header"/>
    <w:basedOn w:val="Normal"/>
    <w:link w:val="HeaderChar"/>
    <w:uiPriority w:val="99"/>
    <w:unhideWhenUsed/>
    <w:rsid w:val="007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0C0"/>
    <w:rPr>
      <w:rFonts w:ascii="Arial" w:hAnsi="Arial"/>
      <w:sz w:val="24"/>
    </w:rPr>
  </w:style>
  <w:style w:type="paragraph" w:styleId="Footer">
    <w:name w:val="footer"/>
    <w:basedOn w:val="Normal"/>
    <w:link w:val="FooterChar"/>
    <w:uiPriority w:val="99"/>
    <w:unhideWhenUsed/>
    <w:rsid w:val="007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0C0"/>
    <w:rPr>
      <w:rFonts w:ascii="Arial" w:hAnsi="Arial"/>
      <w:sz w:val="24"/>
    </w:rPr>
  </w:style>
  <w:style w:type="character" w:styleId="Hyperlink">
    <w:name w:val="Hyperlink"/>
    <w:basedOn w:val="DefaultParagraphFont"/>
    <w:uiPriority w:val="99"/>
    <w:unhideWhenUsed/>
    <w:rsid w:val="007140C0"/>
    <w:rPr>
      <w:color w:val="007838" w:themeColor="hyperlink"/>
      <w:u w:val="single"/>
    </w:rPr>
  </w:style>
  <w:style w:type="character" w:customStyle="1" w:styleId="UnresolvedMention1">
    <w:name w:val="Unresolved Mention1"/>
    <w:basedOn w:val="DefaultParagraphFont"/>
    <w:uiPriority w:val="99"/>
    <w:semiHidden/>
    <w:unhideWhenUsed/>
    <w:rsid w:val="007140C0"/>
    <w:rPr>
      <w:color w:val="605E5C"/>
      <w:shd w:val="clear" w:color="auto" w:fill="E1DFDD"/>
    </w:rPr>
  </w:style>
  <w:style w:type="character" w:styleId="Strong">
    <w:name w:val="Strong"/>
    <w:basedOn w:val="DefaultParagraphFont"/>
    <w:qFormat/>
    <w:rsid w:val="002459E9"/>
    <w:rPr>
      <w:rFonts w:ascii="Arial" w:hAnsi="Arial"/>
      <w:b/>
      <w:bCs/>
    </w:rPr>
  </w:style>
  <w:style w:type="table" w:styleId="TableGrid">
    <w:name w:val="Table Grid"/>
    <w:basedOn w:val="TableNormal"/>
    <w:uiPriority w:val="39"/>
    <w:rsid w:val="0071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134"/>
    <w:pPr>
      <w:spacing w:before="240" w:after="240"/>
      <w:ind w:left="720"/>
    </w:pPr>
  </w:style>
  <w:style w:type="character" w:customStyle="1" w:styleId="Heading3Char">
    <w:name w:val="Heading 3 Char"/>
    <w:basedOn w:val="DefaultParagraphFont"/>
    <w:link w:val="Heading3"/>
    <w:uiPriority w:val="9"/>
    <w:rsid w:val="00287252"/>
    <w:rPr>
      <w:rFonts w:ascii="Times New Roman" w:eastAsiaTheme="majorEastAsia" w:hAnsi="Times New Roman" w:cstheme="majorBidi"/>
      <w:color w:val="005929" w:themeColor="accent1" w:themeShade="BF"/>
      <w:sz w:val="32"/>
      <w:szCs w:val="32"/>
      <w:lang w:val="en-GB"/>
    </w:rPr>
  </w:style>
  <w:style w:type="table" w:customStyle="1" w:styleId="GridTable1Light1">
    <w:name w:val="Grid Table 1 Light1"/>
    <w:basedOn w:val="TableNormal"/>
    <w:uiPriority w:val="46"/>
    <w:rsid w:val="00D21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1D04E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41">
    <w:name w:val="Grid Table 2 - Accent 41"/>
    <w:basedOn w:val="TableNormal"/>
    <w:uiPriority w:val="47"/>
    <w:rsid w:val="001D04E7"/>
    <w:pPr>
      <w:spacing w:after="0" w:line="240" w:lineRule="auto"/>
    </w:pPr>
    <w:tblPr>
      <w:tblStyleRowBandSize w:val="1"/>
      <w:tblStyleColBandSize w:val="1"/>
      <w:tblBorders>
        <w:top w:val="single" w:sz="2" w:space="0" w:color="9553D9" w:themeColor="accent4" w:themeTint="99"/>
        <w:bottom w:val="single" w:sz="2" w:space="0" w:color="9553D9" w:themeColor="accent4" w:themeTint="99"/>
        <w:insideH w:val="single" w:sz="2" w:space="0" w:color="9553D9" w:themeColor="accent4" w:themeTint="99"/>
        <w:insideV w:val="single" w:sz="2" w:space="0" w:color="9553D9" w:themeColor="accent4" w:themeTint="99"/>
      </w:tblBorders>
    </w:tblPr>
    <w:tblStylePr w:type="firstRow">
      <w:rPr>
        <w:b/>
        <w:bCs/>
      </w:rPr>
      <w:tblPr/>
      <w:tcPr>
        <w:tcBorders>
          <w:top w:val="nil"/>
          <w:bottom w:val="single" w:sz="12" w:space="0" w:color="9553D9" w:themeColor="accent4" w:themeTint="99"/>
          <w:insideH w:val="nil"/>
          <w:insideV w:val="nil"/>
        </w:tcBorders>
        <w:shd w:val="clear" w:color="auto" w:fill="FFFFFF" w:themeFill="background1"/>
      </w:tcPr>
    </w:tblStylePr>
    <w:tblStylePr w:type="lastRow">
      <w:rPr>
        <w:b/>
        <w:bCs/>
      </w:rPr>
      <w:tblPr/>
      <w:tcPr>
        <w:tcBorders>
          <w:top w:val="double" w:sz="2" w:space="0" w:color="9553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C5F2" w:themeFill="accent4" w:themeFillTint="33"/>
      </w:tcPr>
    </w:tblStylePr>
    <w:tblStylePr w:type="band1Horz">
      <w:tblPr/>
      <w:tcPr>
        <w:shd w:val="clear" w:color="auto" w:fill="DBC5F2" w:themeFill="accent4" w:themeFillTint="33"/>
      </w:tcPr>
    </w:tblStylePr>
  </w:style>
  <w:style w:type="table" w:customStyle="1" w:styleId="PlainTable11">
    <w:name w:val="Plain Table 11"/>
    <w:basedOn w:val="TableNormal"/>
    <w:uiPriority w:val="41"/>
    <w:rsid w:val="001D04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aliases w:val="Block Quote"/>
    <w:basedOn w:val="Normal"/>
    <w:next w:val="Normal"/>
    <w:link w:val="IntenseQuoteChar"/>
    <w:uiPriority w:val="30"/>
    <w:qFormat/>
    <w:rsid w:val="0039260D"/>
    <w:pPr>
      <w:spacing w:before="360" w:after="360"/>
      <w:ind w:left="864" w:right="864"/>
    </w:pPr>
    <w:rPr>
      <w:i/>
      <w:iCs/>
    </w:rPr>
  </w:style>
  <w:style w:type="character" w:customStyle="1" w:styleId="IntenseQuoteChar">
    <w:name w:val="Intense Quote Char"/>
    <w:aliases w:val="Block Quote Char"/>
    <w:basedOn w:val="DefaultParagraphFont"/>
    <w:link w:val="IntenseQuote"/>
    <w:uiPriority w:val="30"/>
    <w:rsid w:val="0039260D"/>
    <w:rPr>
      <w:rFonts w:ascii="Arial" w:hAnsi="Arial"/>
      <w:i/>
      <w:iCs/>
      <w:sz w:val="24"/>
    </w:rPr>
  </w:style>
  <w:style w:type="paragraph" w:styleId="FootnoteText">
    <w:name w:val="footnote text"/>
    <w:basedOn w:val="Normal"/>
    <w:link w:val="FootnoteTextChar"/>
    <w:uiPriority w:val="99"/>
    <w:semiHidden/>
    <w:unhideWhenUsed/>
    <w:rsid w:val="00BB1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374"/>
    <w:rPr>
      <w:rFonts w:ascii="Arial" w:hAnsi="Arial"/>
      <w:sz w:val="20"/>
      <w:szCs w:val="20"/>
    </w:rPr>
  </w:style>
  <w:style w:type="character" w:styleId="FootnoteReference">
    <w:name w:val="footnote reference"/>
    <w:basedOn w:val="DefaultParagraphFont"/>
    <w:uiPriority w:val="99"/>
    <w:semiHidden/>
    <w:unhideWhenUsed/>
    <w:rsid w:val="00BB1374"/>
    <w:rPr>
      <w:vertAlign w:val="superscript"/>
    </w:rPr>
  </w:style>
  <w:style w:type="paragraph" w:styleId="Quote">
    <w:name w:val="Quote"/>
    <w:basedOn w:val="Normal"/>
    <w:next w:val="Normal"/>
    <w:link w:val="QuoteChar"/>
    <w:uiPriority w:val="29"/>
    <w:qFormat/>
    <w:rsid w:val="003B5AEB"/>
    <w:pPr>
      <w:spacing w:before="200"/>
      <w:ind w:left="864" w:right="864"/>
      <w:jc w:val="center"/>
    </w:pPr>
    <w:rPr>
      <w:i/>
      <w:iCs/>
      <w:color w:val="262626" w:themeColor="text1" w:themeTint="D9"/>
      <w:sz w:val="28"/>
    </w:rPr>
  </w:style>
  <w:style w:type="character" w:customStyle="1" w:styleId="QuoteChar">
    <w:name w:val="Quote Char"/>
    <w:basedOn w:val="DefaultParagraphFont"/>
    <w:link w:val="Quote"/>
    <w:uiPriority w:val="29"/>
    <w:rsid w:val="003B5AEB"/>
    <w:rPr>
      <w:rFonts w:ascii="Arial" w:hAnsi="Arial"/>
      <w:i/>
      <w:iCs/>
      <w:color w:val="262626" w:themeColor="text1" w:themeTint="D9"/>
      <w:sz w:val="28"/>
    </w:rPr>
  </w:style>
  <w:style w:type="character" w:styleId="FollowedHyperlink">
    <w:name w:val="FollowedHyperlink"/>
    <w:basedOn w:val="DefaultParagraphFont"/>
    <w:uiPriority w:val="99"/>
    <w:semiHidden/>
    <w:unhideWhenUsed/>
    <w:rsid w:val="00761561"/>
    <w:rPr>
      <w:color w:val="0057BF" w:themeColor="followedHyperlink"/>
      <w:u w:val="single"/>
    </w:rPr>
  </w:style>
  <w:style w:type="character" w:customStyle="1" w:styleId="cf01">
    <w:name w:val="cf01"/>
    <w:basedOn w:val="DefaultParagraphFont"/>
    <w:rsid w:val="00784989"/>
    <w:rPr>
      <w:rFonts w:ascii="Segoe UI" w:hAnsi="Segoe UI" w:cs="Segoe UI" w:hint="default"/>
      <w:sz w:val="18"/>
      <w:szCs w:val="18"/>
    </w:rPr>
  </w:style>
  <w:style w:type="paragraph" w:styleId="BodyTextIndent">
    <w:name w:val="Body Text Indent"/>
    <w:basedOn w:val="Normal"/>
    <w:link w:val="BodyTextIndentChar"/>
    <w:unhideWhenUsed/>
    <w:rsid w:val="00007BDD"/>
    <w:pPr>
      <w:spacing w:after="0" w:line="360" w:lineRule="auto"/>
      <w:ind w:left="720"/>
    </w:pPr>
    <w:rPr>
      <w:rFonts w:ascii="Frutiger 55 Roman" w:eastAsia="Times New Roman" w:hAnsi="Frutiger 55 Roman" w:cs="Times New Roman"/>
      <w:kern w:val="0"/>
      <w:sz w:val="18"/>
      <w:szCs w:val="24"/>
      <w:lang w:val="en-GB"/>
      <w14:ligatures w14:val="none"/>
    </w:rPr>
  </w:style>
  <w:style w:type="character" w:customStyle="1" w:styleId="BodyTextIndentChar">
    <w:name w:val="Body Text Indent Char"/>
    <w:basedOn w:val="DefaultParagraphFont"/>
    <w:link w:val="BodyTextIndent"/>
    <w:rsid w:val="00007BDD"/>
    <w:rPr>
      <w:rFonts w:ascii="Frutiger 55 Roman" w:eastAsia="Times New Roman" w:hAnsi="Frutiger 55 Roman" w:cs="Times New Roman"/>
      <w:kern w:val="0"/>
      <w:sz w:val="18"/>
      <w:szCs w:val="24"/>
      <w:lang w:val="en-GB"/>
      <w14:ligatures w14:val="none"/>
    </w:rPr>
  </w:style>
  <w:style w:type="paragraph" w:styleId="NoSpacing">
    <w:name w:val="No Spacing"/>
    <w:uiPriority w:val="1"/>
    <w:qFormat/>
    <w:rsid w:val="00252CB2"/>
    <w:pPr>
      <w:spacing w:before="120" w:after="120" w:line="240" w:lineRule="auto"/>
    </w:pPr>
    <w:rPr>
      <w:rFonts w:ascii="Arial" w:eastAsia="Times New Roman" w:hAnsi="Arial" w:cs="Times New Roman"/>
      <w:kern w:val="0"/>
      <w:sz w:val="24"/>
      <w:szCs w:val="24"/>
      <w:lang w:val="en-US"/>
      <w14:ligatures w14:val="none"/>
    </w:rPr>
  </w:style>
  <w:style w:type="paragraph" w:styleId="Subtitle">
    <w:name w:val="Subtitle"/>
    <w:basedOn w:val="Normal"/>
    <w:next w:val="Normal"/>
    <w:link w:val="SubtitleChar"/>
    <w:uiPriority w:val="11"/>
    <w:qFormat/>
    <w:rsid w:val="00D2580E"/>
    <w:pPr>
      <w:numPr>
        <w:ilvl w:val="1"/>
      </w:numPr>
      <w:ind w:right="2835"/>
    </w:pPr>
    <w:rPr>
      <w:rFonts w:eastAsiaTheme="minorEastAsia"/>
      <w:color w:val="000000" w:themeColor="text1"/>
      <w:spacing w:val="15"/>
      <w:sz w:val="40"/>
    </w:rPr>
  </w:style>
  <w:style w:type="character" w:customStyle="1" w:styleId="SubtitleChar">
    <w:name w:val="Subtitle Char"/>
    <w:basedOn w:val="DefaultParagraphFont"/>
    <w:link w:val="Subtitle"/>
    <w:uiPriority w:val="11"/>
    <w:rsid w:val="00D2580E"/>
    <w:rPr>
      <w:rFonts w:ascii="Arial" w:eastAsiaTheme="minorEastAsia" w:hAnsi="Arial"/>
      <w:color w:val="000000" w:themeColor="text1"/>
      <w:spacing w:val="15"/>
      <w:sz w:val="40"/>
    </w:rPr>
  </w:style>
  <w:style w:type="paragraph" w:customStyle="1" w:styleId="WeActivateSignoff">
    <w:name w:val="We Activate Sign off"/>
    <w:basedOn w:val="Normal"/>
    <w:link w:val="WeActivateSignoffChar"/>
    <w:qFormat/>
    <w:rsid w:val="002748C9"/>
    <w:pPr>
      <w:pBdr>
        <w:bottom w:val="single" w:sz="4" w:space="1" w:color="C59A00" w:themeColor="background2"/>
      </w:pBdr>
      <w:spacing w:before="3000" w:after="240" w:line="360" w:lineRule="auto"/>
      <w:ind w:right="6804"/>
    </w:pPr>
  </w:style>
  <w:style w:type="character" w:customStyle="1" w:styleId="WeActivateSignoffChar">
    <w:name w:val="We Activate Sign off Char"/>
    <w:basedOn w:val="DefaultParagraphFont"/>
    <w:link w:val="WeActivateSignoff"/>
    <w:rsid w:val="002748C9"/>
    <w:rPr>
      <w:rFonts w:ascii="Arial" w:hAnsi="Arial"/>
      <w:sz w:val="24"/>
    </w:rPr>
  </w:style>
  <w:style w:type="paragraph" w:styleId="TOC1">
    <w:name w:val="toc 1"/>
    <w:basedOn w:val="Normal"/>
    <w:next w:val="Normal"/>
    <w:autoRedefine/>
    <w:uiPriority w:val="39"/>
    <w:unhideWhenUsed/>
    <w:rsid w:val="006A5A40"/>
    <w:pPr>
      <w:spacing w:after="100"/>
    </w:pPr>
  </w:style>
  <w:style w:type="paragraph" w:styleId="TOC2">
    <w:name w:val="toc 2"/>
    <w:basedOn w:val="Normal"/>
    <w:next w:val="Normal"/>
    <w:autoRedefine/>
    <w:uiPriority w:val="39"/>
    <w:unhideWhenUsed/>
    <w:rsid w:val="006A5A40"/>
    <w:pPr>
      <w:spacing w:after="100"/>
      <w:ind w:left="240"/>
    </w:pPr>
  </w:style>
  <w:style w:type="character" w:styleId="IntenseEmphasis">
    <w:name w:val="Intense Emphasis"/>
    <w:basedOn w:val="DefaultParagraphFont"/>
    <w:uiPriority w:val="21"/>
    <w:qFormat/>
    <w:rsid w:val="002459E9"/>
    <w:rPr>
      <w:rFonts w:ascii="Arial" w:hAnsi="Arial"/>
      <w:i/>
      <w:iCs/>
      <w:color w:val="007838" w:themeColor="accent1"/>
    </w:rPr>
  </w:style>
  <w:style w:type="character" w:customStyle="1" w:styleId="Heading4Char">
    <w:name w:val="Heading 4 Char"/>
    <w:basedOn w:val="DefaultParagraphFont"/>
    <w:link w:val="Heading4"/>
    <w:uiPriority w:val="9"/>
    <w:semiHidden/>
    <w:rsid w:val="002459E9"/>
    <w:rPr>
      <w:rFonts w:ascii="Arial" w:eastAsiaTheme="majorEastAsia" w:hAnsi="Arial" w:cstheme="majorBidi"/>
      <w:i/>
      <w:iCs/>
      <w:color w:val="000000" w:themeColor="text1"/>
      <w:sz w:val="24"/>
    </w:rPr>
  </w:style>
  <w:style w:type="character" w:styleId="SubtleEmphasis">
    <w:name w:val="Subtle Emphasis"/>
    <w:basedOn w:val="DefaultParagraphFont"/>
    <w:uiPriority w:val="19"/>
    <w:qFormat/>
    <w:rsid w:val="002459E9"/>
    <w:rPr>
      <w:rFonts w:ascii="Arial" w:hAnsi="Arial"/>
      <w:i/>
      <w:iCs/>
      <w:color w:val="404040" w:themeColor="text1" w:themeTint="BF"/>
    </w:rPr>
  </w:style>
  <w:style w:type="character" w:styleId="Emphasis">
    <w:name w:val="Emphasis"/>
    <w:basedOn w:val="DefaultParagraphFont"/>
    <w:uiPriority w:val="20"/>
    <w:qFormat/>
    <w:rsid w:val="002459E9"/>
    <w:rPr>
      <w:rFonts w:ascii="Arial" w:hAnsi="Arial"/>
      <w:b/>
      <w:i/>
      <w:iCs/>
    </w:rPr>
  </w:style>
  <w:style w:type="character" w:styleId="SubtleReference">
    <w:name w:val="Subtle Reference"/>
    <w:basedOn w:val="DefaultParagraphFont"/>
    <w:uiPriority w:val="31"/>
    <w:qFormat/>
    <w:rsid w:val="002459E9"/>
    <w:rPr>
      <w:rFonts w:ascii="Arial" w:hAnsi="Arial"/>
      <w:i/>
      <w:smallCaps/>
      <w:color w:val="404040" w:themeColor="text1" w:themeTint="BF"/>
    </w:rPr>
  </w:style>
  <w:style w:type="character" w:styleId="IntenseReference">
    <w:name w:val="Intense Reference"/>
    <w:basedOn w:val="DefaultParagraphFont"/>
    <w:uiPriority w:val="32"/>
    <w:qFormat/>
    <w:rsid w:val="002459E9"/>
    <w:rPr>
      <w:rFonts w:ascii="Arial" w:hAnsi="Arial"/>
      <w:b/>
      <w:bCs/>
      <w:smallCaps/>
      <w:color w:val="007838" w:themeColor="accent1"/>
      <w:spacing w:val="5"/>
    </w:rPr>
  </w:style>
  <w:style w:type="character" w:styleId="BookTitle">
    <w:name w:val="Book Title"/>
    <w:basedOn w:val="DefaultParagraphFont"/>
    <w:uiPriority w:val="33"/>
    <w:qFormat/>
    <w:rsid w:val="002459E9"/>
    <w:rPr>
      <w:rFonts w:ascii="Arial" w:hAnsi="Arial"/>
      <w:b/>
      <w:bCs/>
      <w:i/>
      <w:iCs/>
      <w:spacing w:val="5"/>
    </w:rPr>
  </w:style>
  <w:style w:type="paragraph" w:styleId="Caption">
    <w:name w:val="caption"/>
    <w:basedOn w:val="Normal"/>
    <w:next w:val="Normal"/>
    <w:uiPriority w:val="35"/>
    <w:semiHidden/>
    <w:unhideWhenUsed/>
    <w:qFormat/>
    <w:rsid w:val="00125564"/>
    <w:pPr>
      <w:spacing w:after="200" w:line="240" w:lineRule="auto"/>
    </w:pPr>
    <w:rPr>
      <w:i/>
      <w:iCs/>
      <w:color w:val="3C3C3B" w:themeColor="text2"/>
      <w:sz w:val="20"/>
      <w:szCs w:val="18"/>
    </w:rPr>
  </w:style>
  <w:style w:type="paragraph" w:styleId="EndnoteText">
    <w:name w:val="endnote text"/>
    <w:basedOn w:val="Normal"/>
    <w:link w:val="EndnoteTextChar"/>
    <w:uiPriority w:val="99"/>
    <w:semiHidden/>
    <w:unhideWhenUsed/>
    <w:rsid w:val="00004998"/>
    <w:pPr>
      <w:spacing w:after="0" w:line="240" w:lineRule="auto"/>
    </w:pPr>
    <w:rPr>
      <w:rFonts w:asciiTheme="minorHAnsi" w:hAnsiTheme="minorHAnsi"/>
      <w:sz w:val="20"/>
      <w:szCs w:val="20"/>
      <w:lang w:val="en-GB"/>
    </w:rPr>
  </w:style>
  <w:style w:type="character" w:customStyle="1" w:styleId="EndnoteTextChar">
    <w:name w:val="Endnote Text Char"/>
    <w:basedOn w:val="DefaultParagraphFont"/>
    <w:link w:val="EndnoteText"/>
    <w:uiPriority w:val="99"/>
    <w:semiHidden/>
    <w:rsid w:val="00004998"/>
    <w:rPr>
      <w:sz w:val="20"/>
      <w:szCs w:val="20"/>
      <w:lang w:val="en-GB"/>
    </w:rPr>
  </w:style>
  <w:style w:type="character" w:styleId="EndnoteReference">
    <w:name w:val="endnote reference"/>
    <w:basedOn w:val="DefaultParagraphFont"/>
    <w:uiPriority w:val="99"/>
    <w:semiHidden/>
    <w:unhideWhenUsed/>
    <w:rsid w:val="00004998"/>
    <w:rPr>
      <w:vertAlign w:val="superscript"/>
    </w:rPr>
  </w:style>
  <w:style w:type="paragraph" w:customStyle="1" w:styleId="EndNoteBibliography">
    <w:name w:val="EndNote Bibliography"/>
    <w:basedOn w:val="Normal"/>
    <w:link w:val="EndNoteBibliographyChar"/>
    <w:rsid w:val="00004998"/>
    <w:pPr>
      <w:spacing w:line="240" w:lineRule="auto"/>
    </w:pPr>
    <w:rPr>
      <w:rFonts w:ascii="Aptos" w:hAnsi="Aptos"/>
      <w:noProof/>
      <w:szCs w:val="24"/>
      <w:lang w:val="en-US"/>
    </w:rPr>
  </w:style>
  <w:style w:type="character" w:customStyle="1" w:styleId="EndNoteBibliographyChar">
    <w:name w:val="EndNote Bibliography Char"/>
    <w:basedOn w:val="DefaultParagraphFont"/>
    <w:link w:val="EndNoteBibliography"/>
    <w:rsid w:val="00004998"/>
    <w:rPr>
      <w:rFonts w:ascii="Aptos" w:hAnsi="Aptos"/>
      <w:noProof/>
      <w:sz w:val="24"/>
      <w:szCs w:val="24"/>
      <w:lang w:val="en-US"/>
    </w:rPr>
  </w:style>
  <w:style w:type="paragraph" w:customStyle="1" w:styleId="EndNoteBibliographyTitle">
    <w:name w:val="EndNote Bibliography Title"/>
    <w:basedOn w:val="Normal"/>
    <w:link w:val="EndNoteBibliographyTitleChar"/>
    <w:rsid w:val="00004998"/>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004998"/>
    <w:rPr>
      <w:rFonts w:ascii="Aptos" w:hAnsi="Aptos"/>
      <w:noProof/>
      <w:sz w:val="24"/>
      <w:lang w:val="en-US"/>
    </w:rPr>
  </w:style>
  <w:style w:type="paragraph" w:styleId="BalloonText">
    <w:name w:val="Balloon Text"/>
    <w:basedOn w:val="Normal"/>
    <w:link w:val="BalloonTextChar"/>
    <w:uiPriority w:val="99"/>
    <w:semiHidden/>
    <w:unhideWhenUsed/>
    <w:rsid w:val="00B8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46"/>
    <w:rPr>
      <w:rFonts w:ascii="Tahoma" w:hAnsi="Tahoma" w:cs="Tahoma"/>
      <w:sz w:val="16"/>
      <w:szCs w:val="16"/>
    </w:rPr>
  </w:style>
  <w:style w:type="character" w:styleId="CommentReference">
    <w:name w:val="annotation reference"/>
    <w:basedOn w:val="DefaultParagraphFont"/>
    <w:uiPriority w:val="99"/>
    <w:semiHidden/>
    <w:unhideWhenUsed/>
    <w:rsid w:val="008743B2"/>
    <w:rPr>
      <w:sz w:val="16"/>
      <w:szCs w:val="16"/>
    </w:rPr>
  </w:style>
  <w:style w:type="paragraph" w:styleId="CommentText">
    <w:name w:val="annotation text"/>
    <w:basedOn w:val="Normal"/>
    <w:link w:val="CommentTextChar"/>
    <w:uiPriority w:val="99"/>
    <w:semiHidden/>
    <w:unhideWhenUsed/>
    <w:rsid w:val="008743B2"/>
    <w:pPr>
      <w:spacing w:line="240" w:lineRule="auto"/>
    </w:pPr>
    <w:rPr>
      <w:sz w:val="20"/>
      <w:szCs w:val="20"/>
    </w:rPr>
  </w:style>
  <w:style w:type="character" w:customStyle="1" w:styleId="CommentTextChar">
    <w:name w:val="Comment Text Char"/>
    <w:basedOn w:val="DefaultParagraphFont"/>
    <w:link w:val="CommentText"/>
    <w:uiPriority w:val="99"/>
    <w:semiHidden/>
    <w:rsid w:val="008743B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743B2"/>
    <w:rPr>
      <w:b/>
      <w:bCs/>
    </w:rPr>
  </w:style>
  <w:style w:type="character" w:customStyle="1" w:styleId="CommentSubjectChar">
    <w:name w:val="Comment Subject Char"/>
    <w:basedOn w:val="CommentTextChar"/>
    <w:link w:val="CommentSubject"/>
    <w:uiPriority w:val="99"/>
    <w:semiHidden/>
    <w:rsid w:val="008743B2"/>
    <w:rPr>
      <w:rFonts w:ascii="Arial" w:hAnsi="Arial"/>
      <w:b/>
      <w:bCs/>
      <w:sz w:val="20"/>
      <w:szCs w:val="20"/>
    </w:rPr>
  </w:style>
  <w:style w:type="paragraph" w:styleId="Revision">
    <w:name w:val="Revision"/>
    <w:hidden/>
    <w:uiPriority w:val="99"/>
    <w:semiHidden/>
    <w:rsid w:val="008F7539"/>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8F7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lowther@bh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localelearning.com.au/blog/local-councillor-remuneration" TargetMode="External"/><Relationship Id="rId2" Type="http://schemas.openxmlformats.org/officeDocument/2006/relationships/hyperlink" Target="https://lama.ie/wp-content/uploads/2024/12/LG-11-2024-Allowances-and-Expenses-of-Elected-Members-of-Local-Authorities.pdf" TargetMode="External"/><Relationship Id="rId1" Type="http://schemas.openxmlformats.org/officeDocument/2006/relationships/hyperlink" Target="mailto:ray_tomkinson@hotmail.co.uk" TargetMode="External"/><Relationship Id="rId6" Type="http://schemas.openxmlformats.org/officeDocument/2006/relationships/hyperlink" Target="https://www.local.gov.uk/publications/national-census-local-authority-councillors-2022" TargetMode="External"/><Relationship Id="rId5" Type="http://schemas.openxmlformats.org/officeDocument/2006/relationships/hyperlink" Target="https://tinyurl.com/councillorbarrier" TargetMode="External"/><Relationship Id="rId4" Type="http://schemas.openxmlformats.org/officeDocument/2006/relationships/hyperlink" Target="https://www.remauthority.govt.nz/local-government-members/pay-local-government-me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wtherj\Documents\Inlogov%20admin\My%20research\Councillor%20allowances\Paying%20For%20Local%20Democracy%20%20%20%20DRAFT%20v280526.dotx"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3C3C3B"/>
      </a:dk2>
      <a:lt2>
        <a:srgbClr val="C59A00"/>
      </a:lt2>
      <a:accent1>
        <a:srgbClr val="007838"/>
      </a:accent1>
      <a:accent2>
        <a:srgbClr val="00788E"/>
      </a:accent2>
      <a:accent3>
        <a:srgbClr val="0057BF"/>
      </a:accent3>
      <a:accent4>
        <a:srgbClr val="501D83"/>
      </a:accent4>
      <a:accent5>
        <a:srgbClr val="DB0661"/>
      </a:accent5>
      <a:accent6>
        <a:srgbClr val="CF4527"/>
      </a:accent6>
      <a:hlink>
        <a:srgbClr val="007838"/>
      </a:hlink>
      <a:folHlink>
        <a:srgbClr val="0057B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FDDF9-C10D-4C97-9044-7CF8D6B54C46}">
  <ds:schemaRefs>
    <ds:schemaRef ds:uri="http://schemas.microsoft.com/sharepoint/v3/contenttype/forms"/>
  </ds:schemaRefs>
</ds:datastoreItem>
</file>

<file path=customXml/itemProps2.xml><?xml version="1.0" encoding="utf-8"?>
<ds:datastoreItem xmlns:ds="http://schemas.openxmlformats.org/officeDocument/2006/customXml" ds:itemID="{1F5CDA23-A332-4B08-B93E-6C822507BC9F}">
  <ds:schemaRefs>
    <ds:schemaRef ds:uri="http://schemas.openxmlformats.org/officeDocument/2006/bibliography"/>
  </ds:schemaRefs>
</ds:datastoreItem>
</file>

<file path=customXml/itemProps3.xml><?xml version="1.0" encoding="utf-8"?>
<ds:datastoreItem xmlns:ds="http://schemas.openxmlformats.org/officeDocument/2006/customXml" ds:itemID="{1BAC2D17-5770-4F3F-ACE0-1E16C023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Paying For Local Democracy    DRAFT v280526</Template>
  <TotalTime>15</TotalTime>
  <Pages>12</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24483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Lowther (Public Administration and Policy)</dc:creator>
  <cp:lastModifiedBy>Richard Andrews (Libraries and Learning Resources)</cp:lastModifiedBy>
  <cp:revision>3</cp:revision>
  <dcterms:created xsi:type="dcterms:W3CDTF">2026-06-16T08:06:00Z</dcterms:created>
  <dcterms:modified xsi:type="dcterms:W3CDTF">2026-06-16T08:35:00Z</dcterms:modified>
</cp:coreProperties>
</file>